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00"/>
        <w:jc w:val="center"/>
      </w:pPr>
      <w:r>
        <w:rPr>
          <w:rFonts w:ascii="Arial" w:cs="Arial" w:eastAsia="Arial" w:hAnsi="Arial"/>
          <w:b/>
          <w:bCs/>
          <w:color w:val="1F6FEB"/>
          <w:sz w:val="56"/>
          <w:szCs w:val="56"/>
        </w:rPr>
        <w:t xml:space="preserve">MARTIN LUKE</w:t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2C3E50"/>
          <w:sz w:val="34"/>
          <w:szCs w:val="34"/>
        </w:rPr>
        <w:t xml:space="preserve">HIGH-MOMENTUM SWING TRADING</w:t>
      </w:r>
    </w:p>
    <w:p>
      <w:pPr>
        <w:spacing w:after="80" w:before="0"/>
        <w:jc w:val="center"/>
      </w:pPr>
      <w:r>
        <w:rPr>
          <w:rFonts w:ascii="Arial" w:cs="Arial" w:eastAsia="Arial" w:hAnsi="Arial"/>
          <w:i/>
          <w:iCs/>
          <w:color w:val="D4881E"/>
          <w:sz w:val="24"/>
          <w:szCs w:val="24"/>
        </w:rPr>
        <w:t xml:space="preserve">Trend Following, Tight Stops, and a Low Win Rate That Still Wins</w:t>
      </w:r>
    </w:p>
    <w:p>
      <w:pPr>
        <w:spacing w:after="200" w:before="0"/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"340% Return, Feb–Dec 2024"  |  ADR &gt; 5%  |  23% Win Rate, High R-Multiples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4FF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F6FEB"/>
                <w:sz w:val="18"/>
                <w:szCs w:val="18"/>
              </w:rPr>
              <w:t xml:space="preserve">Influences</w:t>
            </w:r>
            <w:r>
              <w:br/>
            </w: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Minervini &amp; Kullamägi (VCP/Breakout)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4FF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D4881E"/>
                <w:sz w:val="18"/>
                <w:szCs w:val="18"/>
              </w:rPr>
              <w:t xml:space="preserve">Target Stocks</w:t>
            </w:r>
            <w:r>
              <w:br/>
            </w: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ADR &gt; 5% ("Horse Center")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4FF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7A45"/>
                <w:sz w:val="18"/>
                <w:szCs w:val="18"/>
              </w:rPr>
              <w:t xml:space="preserve">Risk Per Trade</w:t>
            </w:r>
            <w:r>
              <w:br/>
            </w: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0.5% of Portfolio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4FF" w:val="clear"/>
            <w:tcMar>
              <w:top w:type="dxa" w:w="100"/>
              <w:left w:type="dxa" w:w="80"/>
              <w:bottom w:type="dxa" w:w="100"/>
              <w:right w:type="dxa" w:w="8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0392B"/>
                <w:sz w:val="18"/>
                <w:szCs w:val="18"/>
              </w:rPr>
              <w:t xml:space="preserve">Max Stop</w:t>
            </w:r>
            <w:r>
              <w:br/>
            </w: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5% (hard ceiling)</w:t>
            </w:r>
          </w:p>
        </w:tc>
      </w:tr>
    </w:tbl>
    <w:p>
      <w:pPr>
        <w:spacing w:before="120"/>
      </w:pPr>
      <w:r>
        <w:t xml:space="preserve"/>
      </w:r>
    </w:p>
    <w:p>
      <w:pPr>
        <w:pStyle w:val="Heading1"/>
        <w:pBdr>
          <w:bottom w:val="single" w:color="1F6FEB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1F6FEB"/>
          <w:sz w:val="32"/>
          <w:szCs w:val="32"/>
        </w:rPr>
        <w:t xml:space="preserve">1. Overview — Trend Following on Fast-Moving Stocks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Martin Luke's swing trading strategy produced a 283% account return in 2024 (340% specifically across the February-to-December stretch), built on trend following and catching high-momentum, fast-moving stocks. His approach is explicit about NOT trying to predict where a stock will go — instead, risk is managed through tight, precisely placed stops, and profits come from letting winners run with strong reward-to-risk asymmetry.</w:t>
      </w:r>
    </w:p>
    <w:p>
      <w:pPr>
        <w:spacing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The strategy draws its core philosophy from two well-known growth-stock traders: Mark Minervini's breakout methodology and Christian Kullamägi's Volatility Contraction Pattern (VCP) approach. Both emphasise buying strength as it breaks out of a well-formed base, rather than buying weakness or trying to predict a bottom.</w:t>
      </w:r>
    </w:p>
    <w:p>
      <w:pPr>
        <w:spacing w:before="6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💡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333333"/>
                <w:sz w:val="21"/>
                <w:szCs w:val="21"/>
              </w:rPr>
              <w:t xml:space="preserve">The defining mathematical feature of this strategy is a deliberately LOW win rate (around 23%) offset by a HIGH reward-to-risk ratio. This is not a flaw to fix — it is the engine of the strategy. Most trades lose a small, controlled amount; a minority of trades produce outsized gains that more than make up for the rest.</w:t>
            </w:r>
          </w:p>
        </w:tc>
      </w:tr>
    </w:tbl>
    <w:p>
      <w:pPr>
        <w:spacing w:before="120"/>
      </w:pPr>
      <w:r>
        <w:t xml:space="preserve"/>
      </w:r>
    </w:p>
    <w:p>
      <w:pPr>
        <w:pStyle w:val="Heading1"/>
        <w:pBdr>
          <w:bottom w:val="single" w:color="1F6FEB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1F6FEB"/>
          <w:sz w:val="32"/>
          <w:szCs w:val="32"/>
        </w:rPr>
        <w:t xml:space="preserve">2. Stock Selection — The "Horse Center"</w:t>
      </w:r>
    </w:p>
    <w:p>
      <w:pPr>
        <w:spacing w:after="80" w:before="160"/>
        <w:jc w:val="center"/>
      </w:pPr>
      <w:r>
        <w:drawing>
          <wp:inline distT="0" distB="0" distL="0" distR="0">
            <wp:extent cx="5905500" cy="3152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Diagram 1 — The ADR filter ("horse center" at ADR &gt; 5%), the four primary setup types, and how the weekly chart provides conviction for daily entries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C3E50"/>
          <w:sz w:val="26"/>
          <w:szCs w:val="26"/>
        </w:rPr>
        <w:t xml:space="preserve">2.1 Average Daily Range (ADR) Filter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Luke specifically targets stocks in what he calls the "horse center" — stocks with an Average Daily Range (ADR) greater than 5%. ADR measures a stock's typical daily price range as a percentage of its price, and a high ADR is a direct proxy for the volatility needed to produce the fast, explosive moves this strategy is built to capture. Lower-ADR stocks simply do not move fast enough to generate the reward-to-risk asymmetry the strategy depends on.</w:t>
      </w:r>
    </w:p>
    <w:p>
      <w:pPr>
        <w:spacing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C3E50"/>
          <w:sz w:val="26"/>
          <w:szCs w:val="26"/>
        </w:rPr>
        <w:t xml:space="preserve">2.2 Weekly Chart Context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While all entries are executed on the daily chart, Luke uses the weekly chart specifically to identify large bases and clean overall trends. A daily breakout that occurs against the backdrop of a large, well-formed weekly base adds significant conviction to the trade — it suggests the move is breaking out of genuine longer-term consolidation rather than a short-term, less reliable pattern visible only on the daily timeframe.</w:t>
      </w:r>
    </w:p>
    <w:p>
      <w:pPr>
        <w:spacing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C3E50"/>
          <w:sz w:val="26"/>
          <w:szCs w:val="26"/>
        </w:rPr>
        <w:t xml:space="preserve">2.3 Four Primary Setup Types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100"/>
              <w:left w:type="dxa" w:w="160"/>
              <w:bottom w:type="dxa" w:w="4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6FEB"/>
                <w:sz w:val="24"/>
                <w:szCs w:val="24"/>
              </w:rPr>
              <w:t xml:space="preserve">The Core Setups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Breakouts: Range expansion above a resistance level, typically following a period of tightening price action.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Earnings Position Squares (EPS): Setups specifically tied to a stock's positioning around earnings events.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Parabolics: Explosive, fast-accelerating continuation moves — entered with the awareness that these can reverse sharply.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Pullbacks: Re-entry opportunities after an initial move, buying continuation rather than chasing the original breakout.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r>
              <w:t xml:space="preserve"/>
            </w:r>
          </w:p>
        </w:tc>
      </w:tr>
    </w:tbl>
    <w:p>
      <w:pPr>
        <w:spacing w:before="120"/>
      </w:pPr>
      <w:r>
        <w:t xml:space="preserve"/>
      </w:r>
    </w:p>
    <w:p>
      <w:pPr>
        <w:pStyle w:val="Heading1"/>
        <w:pBdr>
          <w:bottom w:val="single" w:color="1F6FEB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1F6FEB"/>
          <w:sz w:val="32"/>
          <w:szCs w:val="32"/>
        </w:rPr>
        <w:t xml:space="preserve">3. Tightness, Inside Days, and Entry Tactics</w:t>
      </w:r>
    </w:p>
    <w:p>
      <w:pPr>
        <w:spacing w:after="80" w:before="160"/>
        <w:jc w:val="center"/>
      </w:pPr>
      <w:r>
        <w:drawing>
          <wp:inline distT="0" distB="0" distL="0" distR="0">
            <wp:extent cx="5905500" cy="3543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Diagram 2 — Inside days showing volatility contraction before a breakout, and the three intraday entry tactics: Prior Day High, Opening Range High, and Intraday Range High re-entry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C3E50"/>
          <w:sz w:val="26"/>
          <w:szCs w:val="26"/>
        </w:rPr>
        <w:t xml:space="preserve">3.1 Tight Ranges and Inside Days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Luke places heavy emphasis on tight price ranges in the period immediately before a breakout. Specifically, he looks for inside days — days where the entire daily range falls within the previous day's range. A sequence of inside days, especially with each successive day tighter than the last, often precedes the strongest, lowest-volatility trending moves, because it reflects supply drying up before the breakout.</w:t>
      </w:r>
    </w:p>
    <w:p>
      <w:pPr>
        <w:spacing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C3E50"/>
          <w:sz w:val="26"/>
          <w:szCs w:val="26"/>
        </w:rPr>
        <w:t xml:space="preserve">3.2 Three Intraday Entry Tactics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100"/>
              <w:left w:type="dxa" w:w="160"/>
              <w:bottom w:type="dxa" w:w="4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6FEB"/>
                <w:sz w:val="24"/>
                <w:szCs w:val="24"/>
              </w:rPr>
              <w:t xml:space="preserve">Finding the Lowest-Risk Entry Point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Prior Day High (PDH): The most common trigger — entering when a stock breaks above the previous day's high, signalling range expansion and the start of a potential new move.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Opening Range High (ORH): Entering when a stock takes out the high of the first 1-minute or 5-minute candle of the trading session — capturing momentum right from the open.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Intraday Range High (Re-entry): If an initial ORH breakout attempt fails but the overall setup remains structurally intact, Luke looks for a re-entry at the high of a subsequent tight intraday range, often with support from the 9 EMA underneath.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r>
              <w:t xml:space="preserve"/>
            </w:r>
          </w:p>
        </w:tc>
      </w:tr>
    </w:tbl>
    <w:p>
      <w:pPr>
        <w:spacing w:before="120"/>
      </w:pPr>
      <w:r>
        <w:t xml:space="preserve"/>
      </w:r>
    </w:p>
    <w:p>
      <w:pPr>
        <w:pStyle w:val="Heading1"/>
        <w:pBdr>
          <w:bottom w:val="single" w:color="1F6FEB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1F6FEB"/>
          <w:sz w:val="32"/>
          <w:szCs w:val="32"/>
        </w:rPr>
        <w:t xml:space="preserve">4. Risk Management — The Engine of the Strategy</w:t>
      </w:r>
    </w:p>
    <w:p>
      <w:pPr>
        <w:spacing w:after="80" w:before="160"/>
        <w:jc w:val="center"/>
      </w:pPr>
      <w:r>
        <w:drawing>
          <wp:inline distT="0" distB="0" distL="0" distR="0">
            <wp:extent cx="5905500" cy="3543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Diagram 3 — Stop placement hierarchy, the "Winning Horse" rule, how tightening a stop parabolically increases the R-multiple, and position sizing limits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C3E50"/>
          <w:sz w:val="26"/>
          <w:szCs w:val="26"/>
        </w:rPr>
        <w:t xml:space="preserve">4.1 Stop-Loss Placement Hierarchy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0F0" w:val="clear"/>
            <w:tcMar>
              <w:top w:type="dxa" w:w="100"/>
              <w:left w:type="dxa" w:w="160"/>
              <w:bottom w:type="dxa" w:w="4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C0392B"/>
                <w:sz w:val="24"/>
                <w:szCs w:val="24"/>
              </w:rPr>
              <w:t xml:space="preserve">Three-Tier Stop Placement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0F0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Standard Stop: The Low of Day (LOD) of the breakout day — the default choice whenever this distance from entry is reasonable.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0F0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Aggressive Stop: If the LOD is more than 5% away from entry, Luke instead uses the low of the 5-minute entry candle — a much tighter reference point.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0F0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Maximum Stop: Regardless of which method is used, the stop is generally capped at 5% — this is a hard ceiling, not a target.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0F0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r>
              <w:t xml:space="preserve"/>
            </w:r>
          </w:p>
        </w:tc>
      </w:tr>
    </w:tbl>
    <w:p>
      <w:pPr>
        <w:spacing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C3E50"/>
          <w:sz w:val="26"/>
          <w:szCs w:val="26"/>
        </w:rPr>
        <w:t xml:space="preserve">4.2 The "Winning Horse" Rule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Luke operates on the principle that "winning horses don't back up" — meaning that if a stock is a genuine winner, it generally should not revisit the low of its breakout day. This rule functions as both a filter (a stock repeatedly testing its breakout-day low is showing weakness, not strength) and a piece of conviction-building logic for staying in a position that is behaving as a true winner should.</w:t>
      </w:r>
    </w:p>
    <w:p>
      <w:pPr>
        <w:spacing w:before="6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0F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4A3A6E"/>
                <w:sz w:val="22"/>
                <w:szCs w:val="22"/>
              </w:rPr>
              <w:t xml:space="preserve">"Winning horses don't back up."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b/>
                <w:bCs/>
                <w:color w:val="6B2FA0"/>
                <w:sz w:val="19"/>
                <w:szCs w:val="19"/>
              </w:rPr>
              <w:t xml:space="preserve">— Martin Luke</w:t>
            </w:r>
          </w:p>
        </w:tc>
      </w:tr>
    </w:tbl>
    <w:p>
      <w:pPr>
        <w:spacing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C3E50"/>
          <w:sz w:val="26"/>
          <w:szCs w:val="26"/>
        </w:rPr>
        <w:t xml:space="preserve">4.3 Tightening Stops for Parabolic R-Gains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Luke prioritises entries that offer high potential risk multiples (R). The relationship between stop distance and R-multiple is not linear — tightening a stop from 3% to 1.5% (holding the target distance constant) DOUBLES the resulting R-multiple, since R is defined as reward divided by risk. A smaller, well-placed stop is therefore one of the most direct levers available for improving a trade's risk-adjusted potential, independent of where the stock actually ends up going.</w:t>
      </w:r>
    </w:p>
    <w:p>
      <w:pPr>
        <w:spacing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C3E50"/>
          <w:sz w:val="26"/>
          <w:szCs w:val="26"/>
        </w:rPr>
        <w:t xml:space="preserve">4.4 Position Sizing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5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Parameter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5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Specification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Risk Per Trade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0.5% of total portfolio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Max Position — Large Caps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35% of portfolio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Max Position — Small/Micro Caps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25–30% of portfolio (lower, due to overnight gap-down risk)</w:t>
            </w:r>
          </w:p>
        </w:tc>
      </w:tr>
    </w:tbl>
    <w:p>
      <w:pPr>
        <w:spacing w:before="120"/>
      </w:pPr>
      <w:r>
        <w:t xml:space="preserve"/>
      </w:r>
    </w:p>
    <w:p>
      <w:pPr>
        <w:pStyle w:val="Heading1"/>
        <w:pBdr>
          <w:bottom w:val="single" w:color="1F6FEB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1F6FEB"/>
          <w:sz w:val="32"/>
          <w:szCs w:val="32"/>
        </w:rPr>
        <w:t xml:space="preserve">5. The EMA System — Trailing Longs and Identifying Shorts</w:t>
      </w:r>
    </w:p>
    <w:p>
      <w:pPr>
        <w:spacing w:after="80" w:before="160"/>
        <w:jc w:val="center"/>
      </w:pPr>
      <w:r>
        <w:drawing>
          <wp:inline distT="0" distB="0" distL="0" distR="0">
            <wp:extent cx="5905500" cy="34099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Diagram 4 — Left: 9 EMA as the primary long trail with 21/50 as longer-term backstops. Right: declining, converging EMAs forming resistance for short setups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C3E50"/>
          <w:sz w:val="26"/>
          <w:szCs w:val="26"/>
        </w:rPr>
        <w:t xml:space="preserve">5.1 Trailing Longs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Luke uses the 9 EMA as his primary trailing stop for long positions — as long as the stock continues closing above the 9 EMA, the position is held. For longer-term trends or earlier-stage moves where more room is appropriate, he shifts to the 21 or 50 EMA as a wider trailing reference instead.</w:t>
      </w:r>
    </w:p>
    <w:p>
      <w:pPr>
        <w:spacing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C3E50"/>
          <w:sz w:val="26"/>
          <w:szCs w:val="26"/>
        </w:rPr>
        <w:t xml:space="preserve">5.2 Trimming Into Strength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FFF5" w:val="clear"/>
            <w:tcMar>
              <w:top w:type="dxa" w:w="100"/>
              <w:left w:type="dxa" w:w="160"/>
              <w:bottom w:type="dxa" w:w="4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7A45"/>
                <w:sz w:val="24"/>
                <w:szCs w:val="24"/>
              </w:rPr>
              <w:t xml:space="preserve">Trim 10–15% of a Position If: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FFF5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The position reaches 3R profit (three times the original risk).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FFF5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The stock becomes significantly over-extended from the 9 EMA.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FFF5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The position has grown beyond 35% of the total portfolio (organically, through appreciation).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FFF5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r>
              <w:t xml:space="preserve"/>
            </w:r>
          </w:p>
        </w:tc>
      </w:tr>
    </w:tbl>
    <w:p>
      <w:pPr>
        <w:spacing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C3E50"/>
          <w:sz w:val="26"/>
          <w:szCs w:val="26"/>
        </w:rPr>
        <w:t xml:space="preserve">5.3 Short Selling — Declining, Converging EMAs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Luke's short strategy looks for the inverse structural signature: the 9, 21, and 50 EMAs declining and converging together, forming a tight band that then acts as resistance on any bounce attempt. Notably, Luke is described as significantly MORE aggressive selling shorts into strength than he is trimming longs into strength — reflecting the generally faster, more violent nature of short-side moves and squeezes.</w:t>
      </w:r>
    </w:p>
    <w:p>
      <w:pPr>
        <w:spacing w:before="120"/>
      </w:pPr>
      <w:r>
        <w:t xml:space="preserve"/>
      </w:r>
    </w:p>
    <w:p>
      <w:pPr>
        <w:pStyle w:val="Heading1"/>
        <w:pBdr>
          <w:bottom w:val="single" w:color="1F6FEB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1F6FEB"/>
          <w:sz w:val="32"/>
          <w:szCs w:val="32"/>
        </w:rPr>
        <w:t xml:space="preserve">6. Technical Tools and Equity Curve Feedback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Luke keeps his charts deliberately clean, relying on a small, consistent toolkit:</w:t>
      </w:r>
    </w:p>
    <w:p>
      <w:pPr>
        <w:spacing w:before="6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Exponential Moving Averages: the 9, 21, and 50 EMA — used for trend identification, trailing stops, and short-side resistance.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Volume: specifically dollar volume (price × shares traded) rather than raw share volume, which better reflects genuine capital flow.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Anchor VWAP: used as an additional reference for institutional-level support/resistance and fair value.</w:t>
      </w:r>
    </w:p>
    <w:p>
      <w:pPr>
        <w:spacing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Beyond technical tools, Luke treats his own equity curve as a market indicator in its own right. If his trades are working — meaning the broader market environment is favourable for his style — he stays aggressive. If he finds himself in a drawdown, experiencing what he calls "death by a thousand cuts," that is itself a signal to systematically reduce position size rather than fight through the difficult stretch at full size.</w:t>
      </w:r>
    </w:p>
    <w:p>
      <w:pPr>
        <w:spacing w:before="6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60"/>
            </w:tcMar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🔑</w:t>
            </w:r>
          </w:p>
        </w:tc>
        <w:tc>
          <w:tcPr>
            <w:tcW w:type="dxa" w:w="8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100"/>
              <w:left w:type="dxa" w:w="6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333333"/>
                <w:sz w:val="21"/>
                <w:szCs w:val="21"/>
              </w:rPr>
              <w:t xml:space="preserve">This is a meta-risk-management layer on top of the per-trade rules: the strategy adapts its overall aggressiveness based on how well it is currently performing, rather than applying the same size and conviction in every market environment.</w:t>
            </w:r>
          </w:p>
        </w:tc>
      </w:tr>
    </w:tbl>
    <w:p>
      <w:pPr>
        <w:spacing w:before="120"/>
      </w:pPr>
      <w:r>
        <w:t xml:space="preserve"/>
      </w:r>
    </w:p>
    <w:p>
      <w:pPr>
        <w:pStyle w:val="Heading1"/>
        <w:pBdr>
          <w:bottom w:val="single" w:color="1F6FEB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1F6FEB"/>
          <w:sz w:val="32"/>
          <w:szCs w:val="32"/>
        </w:rPr>
        <w:t xml:space="preserve">7. Daily Routine and Scanning Workflow</w:t>
      </w:r>
    </w:p>
    <w:p>
      <w:pPr>
        <w:spacing w:after="80" w:before="160"/>
        <w:jc w:val="center"/>
      </w:pPr>
      <w:r>
        <w:drawing>
          <wp:inline distT="0" distB="0" distL="0" distR="0">
            <wp:extent cx="5905500" cy="3152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Diagram 5 — The daily scanning workflow (pre-market gappers → Potent Scanner → weekly Leader Scan) feeding into a three-tier watchlist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100"/>
              <w:left w:type="dxa" w:w="160"/>
              <w:bottom w:type="dxa" w:w="4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F6FEB"/>
                <w:sz w:val="24"/>
                <w:szCs w:val="24"/>
              </w:rPr>
              <w:t xml:space="preserve">The Scanning Process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Pre-Market (10–15 minutes): Scans for pre-market gappers showing high volume — the first pass for the day's candidates.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Potent Scanner: Identifies the best-performing stocks from the previous trading day, used to find hot themes or sectors where capital is currently flowing.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pPr>
              <w:pStyle w:val="ListParagraph"/>
              <w:numPr>
                <w:ilvl w:val="0"/>
                <w:numId w:val="3"/>
              </w:numPr>
            </w:pPr>
            <w:r>
              <w:rPr>
                <w:rFonts w:ascii="Arial" w:cs="Arial" w:eastAsia="Arial" w:hAnsi="Arial"/>
                <w:color w:val="222222"/>
                <w:sz w:val="21"/>
                <w:szCs w:val="21"/>
              </w:rPr>
              <w:t xml:space="preserve">Leader Scan (Weekly): A weekly process to find stocks with the best performance over the trailing month that also display a clear uptrend structure (9 EMA above 21 EMA above 50 EMA).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BF3FF" w:val="clear"/>
            <w:tcMar>
              <w:top w:type="dxa" w:w="40"/>
              <w:left w:type="dxa" w:w="160"/>
              <w:bottom w:type="dxa" w:w="40"/>
              <w:right w:type="dxa" w:w="160"/>
            </w:tcMar>
          </w:tcPr>
          <w:p>
            <w:r>
              <w:t xml:space="preserve"/>
            </w:r>
          </w:p>
        </w:tc>
      </w:tr>
    </w:tbl>
    <w:p>
      <w:pPr>
        <w:spacing w:before="6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C3E50"/>
          <w:sz w:val="26"/>
          <w:szCs w:val="26"/>
        </w:rPr>
        <w:t xml:space="preserve">7.1 Watchlist Tiers</w:t>
      </w:r>
    </w:p>
    <w:p>
      <w:pPr>
        <w:spacing w:after="80" w:before="60"/>
      </w:pPr>
      <w:r>
        <w:rPr>
          <w:rFonts w:ascii="Arial" w:cs="Arial" w:eastAsia="Arial" w:hAnsi="Arial"/>
          <w:sz w:val="22"/>
          <w:szCs w:val="22"/>
        </w:rPr>
        <w:t xml:space="preserve">Output from the scanning process is organised into three tiers based on relative strength, helping prioritise where attention and capital should go:</w:t>
      </w:r>
    </w:p>
    <w:p>
      <w:pPr>
        <w:spacing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5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Tier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5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Description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Leading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FF5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Strongest relative strength, clean uptrend structure (9 &gt; 21 &gt; 50 EMA). Primary focus for long setups — best risk/reward, capital actively flowing in.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Mediocre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8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Moderate relative strength with a mixed or still-developing trend. Worth monitoring for a potential tier upgrade, but lower priority for new capital.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Lagging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0F0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Weak relative strength, choppy or declining structure. Long setups generally avoided here; these names are instead monitored as potential short candidates if EMAs converge and decline.</w:t>
            </w:r>
          </w:p>
        </w:tc>
      </w:tr>
    </w:tbl>
    <w:p>
      <w:pPr>
        <w:spacing w:before="120"/>
      </w:pPr>
      <w:r>
        <w:t xml:space="preserve"/>
      </w:r>
    </w:p>
    <w:p>
      <w:pPr>
        <w:pStyle w:val="Heading1"/>
        <w:pBdr>
          <w:bottom w:val="single" w:color="1F6FEB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1F6FEB"/>
          <w:sz w:val="32"/>
          <w:szCs w:val="32"/>
        </w:rPr>
        <w:t xml:space="preserve">8. Pre-Trade Checklist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✓</w:t>
            </w:r>
          </w:p>
        </w:tc>
        <w:tc>
          <w:tcPr>
            <w:tcW w:type="dxa" w:w="8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5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Checklist Item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8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The stock has an Average Daily Range (ADR) greater than 5%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8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The weekly chart shows a large, clean base or trend behind the setup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8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The setup matches one of the four primary types: breakout, EPS, parabolic, or pullback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8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Price action shows tightening ranges, ideally one or more inside days, ahead of the move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8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Entry is triggered by Prior Day High, Opening Range High, or (on re-entry) an Intraday Range High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8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Stop loss is set at the Low of Day, or the 5-minute entry candle low if LOD exceeds 5%, with an absolute maximum of 5%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8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Position size is calculated to risk 0.5% of total portfolio on this trade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8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Position size does not exceed 35% (large cap) or 25–30% (small/micro cap) of total portfolio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8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I have evaluated the resulting R-multiple — am I getting the tightest reasonable stop relative to my target?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8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I am aware of my current equity curve state and have sized accordingly (aggressive if working, reduced if in drawdown)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8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This stock currently sits in my "Leading" watchlist tier, or I have a specific reason to act on a Mediocre/Lagging name</w:t>
            </w:r>
          </w:p>
        </w:tc>
      </w:tr>
    </w:tbl>
    <w:p>
      <w:pPr>
        <w:spacing w:before="120"/>
      </w:pPr>
      <w:r>
        <w:t xml:space="preserve"/>
      </w:r>
    </w:p>
    <w:p>
      <w:pPr>
        <w:pStyle w:val="Heading1"/>
        <w:pBdr>
          <w:bottom w:val="single" w:color="1F6FEB" w:sz="6" w:space="1"/>
        </w:pBdr>
        <w:spacing w:after="160" w:before="320"/>
      </w:pPr>
      <w:r>
        <w:rPr>
          <w:rFonts w:ascii="Arial" w:cs="Arial" w:eastAsia="Arial" w:hAnsi="Arial"/>
          <w:b/>
          <w:bCs/>
          <w:color w:val="1F6FEB"/>
          <w:sz w:val="32"/>
          <w:szCs w:val="32"/>
        </w:rPr>
        <w:t xml:space="preserve">9. Key Terms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5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E3A5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A6E"/>
                <w:sz w:val="21"/>
                <w:szCs w:val="21"/>
              </w:rPr>
              <w:t xml:space="preserve">Average Daily Range (ADR)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A measure of a stock's typical daily price range expressed as a percentage of price. Luke targets stocks with ADR greater than 5% — the "horse center."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A6E"/>
                <w:sz w:val="21"/>
                <w:szCs w:val="21"/>
              </w:rPr>
              <w:t xml:space="preserve">Volatility Contraction Pattern (VCP)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A base pattern (associated with Christian Kullamägi and Mark Minervini) where price pullbacks become progressively shallower before a breakout, reflecting supply drying up.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A6E"/>
                <w:sz w:val="21"/>
                <w:szCs w:val="21"/>
              </w:rPr>
              <w:t xml:space="preserve">Inside Day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A trading day whose entire price range falls within the range of the previous day, signalling contracting volatility.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A6E"/>
                <w:sz w:val="21"/>
                <w:szCs w:val="21"/>
              </w:rPr>
              <w:t xml:space="preserve">Prior Day High (PDH)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The high of the previous trading session — a common breakout trigger level.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A6E"/>
                <w:sz w:val="21"/>
                <w:szCs w:val="21"/>
              </w:rPr>
              <w:t xml:space="preserve">Opening Range High (ORH)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The high of the first 1-minute or 5-minute candle after the market opens, used as an early-session breakout trigger.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A6E"/>
                <w:sz w:val="21"/>
                <w:szCs w:val="21"/>
              </w:rPr>
              <w:t xml:space="preserve">Low of Day (LOD)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The lowest price reached during a given trading session — used as the standard stop-loss reference for breakout entries.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A6E"/>
                <w:sz w:val="21"/>
                <w:szCs w:val="21"/>
              </w:rPr>
              <w:t xml:space="preserve">R-Multiple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A trade's profit or loss expressed as a multiple of the initial risk taken. A tighter stop (for the same target) produces a higher R-multiple.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A6E"/>
                <w:sz w:val="21"/>
                <w:szCs w:val="21"/>
              </w:rPr>
              <w:t xml:space="preserve">Winning Horse Rule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Luke's principle that a genuine winning stock should not revisit the low of its breakout day — used as both a filter and a conviction check.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A6E"/>
                <w:sz w:val="21"/>
                <w:szCs w:val="21"/>
              </w:rPr>
              <w:t xml:space="preserve">9 / 21 / 50 EMA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Exponential Moving Averages used as the core trend and trailing-stop framework — 9 EMA as the primary tight trail, 21/50 as wider, longer-term references.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A6E"/>
                <w:sz w:val="21"/>
                <w:szCs w:val="21"/>
              </w:rPr>
              <w:t xml:space="preserve">Anchor VWAP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A Volume-Weighted Average Price calculation anchored to a specific starting point (such as an earnings date or breakout day), used as a institutional-level reference level.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A6E"/>
                <w:sz w:val="21"/>
                <w:szCs w:val="21"/>
              </w:rPr>
              <w:t xml:space="preserve">Potent Scanner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A daily scanning tool used to identify the previous day's best-performing stocks, surfacing hot themes or sectors.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A6E"/>
                <w:sz w:val="21"/>
                <w:szCs w:val="21"/>
              </w:rPr>
              <w:t xml:space="preserve">Leader Scan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A weekly scanning process identifying stocks with the strongest one-month performance and a clear EMA-based uptrend structure.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A6E"/>
                <w:sz w:val="21"/>
                <w:szCs w:val="21"/>
              </w:rPr>
              <w:t xml:space="preserve">Watchlist Tiers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A three-level classification (Leading, Mediocre, Lagging) used to organise candidate stocks by relative strength and prioritise capital allocation.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3A6E"/>
                <w:sz w:val="21"/>
                <w:szCs w:val="21"/>
              </w:rPr>
              <w:t xml:space="preserve">Equity Curve Feedback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1"/>
                <w:szCs w:val="21"/>
              </w:rPr>
              <w:t xml:space="preserve">Using one's own recent trading performance as a signal for how aggressively to size new trades — scaling up when performing well, scaling down during drawdowns.</w:t>
            </w:r>
          </w:p>
        </w:tc>
      </w:tr>
    </w:tbl>
    <w:p>
      <w:pPr>
        <w:spacing w:before="120"/>
      </w:pPr>
      <w:r>
        <w:t xml:space="preserve"/>
      </w:r>
    </w:p>
    <w:p>
      <w:pPr>
        <w:pBdr>
          <w:top w:val="single" w:color="CCCCCC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888888"/>
          <w:sz w:val="20"/>
          <w:szCs w:val="20"/>
        </w:rPr>
        <w:t xml:space="preserve">Disclaimer</w:t>
      </w:r>
    </w:p>
    <w:p>
      <w:pPr>
        <w:spacing w:after="0" w:before="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This document is produced solely for educational and informational purposes, based on publicly shared commentary attributed to a trader known as Martin Luke. This document is not affiliated with or endorsed by Martin Luke. The performance figures cited (283%/340% returns, 23% win rate) are historical results attributed to a specific individual and are not representative of typical results. Nothing in this document constitutes financial advice, a recommendation to trade, or a guarantee of any specific outcome. Trading in financial markets, particularly high-volatility and small/micro-cap stocks, involves substantial risk of loss. Always conduct your own due diligence and consult a qualified financial adviser before engaging in any trading activity.</w:t>
      </w:r>
    </w:p>
    <w:sectPr>
      <w:headerReference w:type="default" r:id="rId7"/>
      <w:footerReference w:type="default" r:id="rId8"/>
      <w:pgSz w:w="12240" w:h="15840" w:orient="portrait"/>
      <w:pgMar w:top="1440" w:right="1260" w:bottom="144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1"/>
      </w:pBdr>
      <w:tabs>
        <w:tab w:val="right" w:pos="9360"/>
      </w:tabs>
      <w:spacing w:before="80"/>
    </w:pPr>
    <w:r>
      <w:rPr>
        <w:rFonts w:ascii="Arial" w:cs="Arial" w:eastAsia="Arial" w:hAnsi="Arial"/>
        <w:color w:val="999999"/>
        <w:sz w:val="16"/>
        <w:szCs w:val="16"/>
      </w:rPr>
      <w:t xml:space="preserve">© Trading Education Series</w:t>
    </w:r>
    <w:r>
      <w:rPr>
        <w:rFonts w:ascii="Arial" w:cs="Arial" w:eastAsia="Arial" w:hAnsi="Arial"/>
        <w:color w:val="999999"/>
        <w:sz w:val="16"/>
        <w:szCs w:val="16"/>
      </w:rPr>
      <w:t xml:space="preserve">	Page </w:t>
    </w:r>
    <w:fldSimple w:instr="PAGE"/>
    <w:r>
      <w:rPr>
        <w:rFonts w:ascii="Arial" w:cs="Arial" w:eastAsia="Arial" w:hAnsi="Arial"/>
        <w:color w:val="999999"/>
        <w:sz w:val="16"/>
        <w:szCs w:val="16"/>
      </w:rPr>
      <w:t xml:space="preserve"> of </w:t>
    </w:r>
    <w:fldSimple w:instr="NUMPAGES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6FEB" w:sz="6" w:space="1"/>
      </w:pBdr>
      <w:tabs>
        <w:tab w:val="right" w:pos="9360"/>
      </w:tabs>
      <w:spacing w:after="100"/>
    </w:pPr>
    <w:r>
      <w:rPr>
        <w:rFonts w:ascii="Arial" w:cs="Arial" w:eastAsia="Arial" w:hAnsi="Arial"/>
        <w:b/>
        <w:bCs/>
        <w:color w:val="1F6FEB"/>
        <w:sz w:val="18"/>
        <w:szCs w:val="18"/>
      </w:rPr>
      <w:t xml:space="preserve">Martin Luke — High-Momentum Swing Trading Strategy</w:t>
    </w:r>
    <w:r>
      <w:rPr>
        <w:rFonts w:ascii="Arial" w:cs="Arial" w:eastAsia="Arial" w:hAnsi="Arial"/>
        <w:sz w:val="18"/>
        <w:szCs w:val="18"/>
      </w:rPr>
      <w:t xml:space="preserve">	</w:t>
    </w:r>
    <w:r>
      <w:rPr>
        <w:rFonts w:ascii="Arial" w:cs="Arial" w:eastAsia="Arial" w:hAnsi="Arial"/>
        <w:i/>
        <w:iCs/>
        <w:color w:val="888888"/>
        <w:sz w:val="18"/>
        <w:szCs w:val="18"/>
      </w:rPr>
      <w:t xml:space="preserve">For Educational Use Only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F6FEB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C3E5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771535fd20b55e21d58b1ae3d3780fe707033680.png"/><Relationship Id="rId10" Type="http://schemas.openxmlformats.org/officeDocument/2006/relationships/image" Target="media/88f9540cc7cb2800d6efd734eff60176678e60f3.png"/><Relationship Id="rId11" Type="http://schemas.openxmlformats.org/officeDocument/2006/relationships/image" Target="media/f2f6fc991d32d3bb4729da98db99058c25751a49.png"/><Relationship Id="rId12" Type="http://schemas.openxmlformats.org/officeDocument/2006/relationships/image" Target="media/c962fb806bb73c361e2fdb14832b44f48ca067a3.png"/><Relationship Id="rId13" Type="http://schemas.openxmlformats.org/officeDocument/2006/relationships/image" Target="media/04ee735bcf110d1f42728a8582f6700deeb6325f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2026-06-28T11:04:36.668Z</dcterms:created>
  <dcterms:modified xsi:type="dcterms:W3CDTF">2026-06-28T11:04:36.681Z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