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00"/>
        <w:jc w:val="center"/>
      </w:pPr>
      <w:r>
        <w:rPr>
          <w:rFonts w:ascii="Arial" w:cs="Arial" w:eastAsia="Arial" w:hAnsi="Arial"/>
          <w:b/>
          <w:bCs/>
          <w:color w:val="1F6FEB"/>
          <w:sz w:val="48"/>
          <w:szCs w:val="48"/>
        </w:rPr>
        <w:t xml:space="preserve">ICT SMT DIVERGENCE</w:t>
      </w:r>
    </w:p>
    <w:p>
      <w:pPr>
        <w:spacing w:after="80" w:before="0"/>
        <w:jc w:val="center"/>
      </w:pPr>
      <w:r>
        <w:rPr>
          <w:rFonts w:ascii="Arial" w:cs="Arial" w:eastAsia="Arial" w:hAnsi="Arial"/>
          <w:i/>
          <w:iCs/>
          <w:color w:val="D4881E"/>
          <w:sz w:val="24"/>
          <w:szCs w:val="24"/>
        </w:rPr>
        <w:t xml:space="preserve">Smart Money Tool — Correlated Asset Divergence Strategy</w:t>
      </w:r>
    </w:p>
    <w:p>
      <w:pPr>
        <w:spacing w:after="200" w:before="0"/>
        <w:jc w:val="center"/>
      </w:pPr>
      <w:r>
        <w:rPr>
          <w:rFonts w:ascii="Arial" w:cs="Arial" w:eastAsia="Arial" w:hAnsi="Arial"/>
          <w:color w:val="666666"/>
          <w:sz w:val="20"/>
          <w:szCs w:val="20"/>
        </w:rPr>
        <w:t xml:space="preserve">Bitcoin (BTC) vs Ethereum (ETH)  |  5-Minute Chart  |  TradingView SMT Indicator</w:t>
      </w: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2340"/>
        <w:gridCol w:w="2340"/>
        <w:gridCol w:w="2340"/>
        <w:gridCol w:w="2340"/>
      </w:tblGrid>
      <w:tr>
        <w:tc>
          <w:tcPr>
            <w:tcW w:type="dxa" w:w="2340"/>
            <w:tcBorders>
              <w:top w:val="none" w:color="FFFFFF" w:sz="0"/>
              <w:left w:val="none" w:color="FFFFFF" w:sz="0"/>
              <w:bottom w:val="none" w:color="FFFFFF" w:sz="0"/>
              <w:right w:val="none" w:color="FFFFFF" w:sz="0"/>
            </w:tcBorders>
            <w:shd w:fill="F0F4FF" w:val="clear"/>
            <w:tcMar>
              <w:top w:type="dxa" w:w="100"/>
              <w:left w:type="dxa" w:w="80"/>
              <w:bottom w:type="dxa" w:w="100"/>
              <w:right w:type="dxa" w:w="80"/>
            </w:tcMar>
          </w:tcPr>
          <w:p>
            <w:pPr>
              <w:jc w:val="center"/>
            </w:pPr>
            <w:r>
              <w:rPr>
                <w:rFonts w:ascii="Arial" w:cs="Arial" w:eastAsia="Arial" w:hAnsi="Arial"/>
                <w:b/>
                <w:bCs/>
                <w:color w:val="1F6FEB"/>
                <w:sz w:val="18"/>
                <w:szCs w:val="18"/>
              </w:rPr>
              <w:t xml:space="preserve">Assets</w:t>
            </w:r>
            <w:r>
              <w:br/>
            </w:r>
            <w:r>
              <w:rPr>
                <w:rFonts w:ascii="Arial" w:cs="Arial" w:eastAsia="Arial" w:hAnsi="Arial"/>
                <w:b/>
                <w:bCs/>
                <w:color w:val="000000"/>
                <w:sz w:val="20"/>
                <w:szCs w:val="20"/>
              </w:rPr>
              <w:t xml:space="preserve">BTC &amp; ETH (Correlated Pair)</w:t>
            </w:r>
          </w:p>
        </w:tc>
        <w:tc>
          <w:tcPr>
            <w:tcW w:type="dxa" w:w="2340"/>
            <w:tcBorders>
              <w:top w:val="none" w:color="FFFFFF" w:sz="0"/>
              <w:left w:val="none" w:color="FFFFFF" w:sz="0"/>
              <w:bottom w:val="none" w:color="FFFFFF" w:sz="0"/>
              <w:right w:val="none" w:color="FFFFFF" w:sz="0"/>
            </w:tcBorders>
            <w:shd w:fill="F0F4FF" w:val="clear"/>
            <w:tcMar>
              <w:top w:type="dxa" w:w="100"/>
              <w:left w:type="dxa" w:w="80"/>
              <w:bottom w:type="dxa" w:w="100"/>
              <w:right w:type="dxa" w:w="80"/>
            </w:tcMar>
          </w:tcPr>
          <w:p>
            <w:pPr>
              <w:jc w:val="center"/>
            </w:pPr>
            <w:r>
              <w:rPr>
                <w:rFonts w:ascii="Arial" w:cs="Arial" w:eastAsia="Arial" w:hAnsi="Arial"/>
                <w:b/>
                <w:bCs/>
                <w:color w:val="D4881E"/>
                <w:sz w:val="18"/>
                <w:szCs w:val="18"/>
              </w:rPr>
              <w:t xml:space="preserve">Timeframe</w:t>
            </w:r>
            <w:r>
              <w:br/>
            </w:r>
            <w:r>
              <w:rPr>
                <w:rFonts w:ascii="Arial" w:cs="Arial" w:eastAsia="Arial" w:hAnsi="Arial"/>
                <w:b/>
                <w:bCs/>
                <w:color w:val="000000"/>
                <w:sz w:val="20"/>
                <w:szCs w:val="20"/>
              </w:rPr>
              <w:t xml:space="preserve">5-Minute Chart</w:t>
            </w:r>
          </w:p>
        </w:tc>
        <w:tc>
          <w:tcPr>
            <w:tcW w:type="dxa" w:w="2340"/>
            <w:tcBorders>
              <w:top w:val="none" w:color="FFFFFF" w:sz="0"/>
              <w:left w:val="none" w:color="FFFFFF" w:sz="0"/>
              <w:bottom w:val="none" w:color="FFFFFF" w:sz="0"/>
              <w:right w:val="none" w:color="FFFFFF" w:sz="0"/>
            </w:tcBorders>
            <w:shd w:fill="F0F4FF" w:val="clear"/>
            <w:tcMar>
              <w:top w:type="dxa" w:w="100"/>
              <w:left w:type="dxa" w:w="80"/>
              <w:bottom w:type="dxa" w:w="100"/>
              <w:right w:type="dxa" w:w="80"/>
            </w:tcMar>
          </w:tcPr>
          <w:p>
            <w:pPr>
              <w:jc w:val="center"/>
            </w:pPr>
            <w:r>
              <w:rPr>
                <w:rFonts w:ascii="Arial" w:cs="Arial" w:eastAsia="Arial" w:hAnsi="Arial"/>
                <w:b/>
                <w:bCs/>
                <w:color w:val="1A7A45"/>
                <w:sz w:val="18"/>
                <w:szCs w:val="18"/>
              </w:rPr>
              <w:t xml:space="preserve">Confirmation</w:t>
            </w:r>
            <w:r>
              <w:br/>
            </w:r>
            <w:r>
              <w:rPr>
                <w:rFonts w:ascii="Arial" w:cs="Arial" w:eastAsia="Arial" w:hAnsi="Arial"/>
                <w:b/>
                <w:bCs/>
                <w:color w:val="000000"/>
                <w:sz w:val="20"/>
                <w:szCs w:val="20"/>
              </w:rPr>
              <w:t xml:space="preserve">2-Candle Wait After Signal</w:t>
            </w:r>
          </w:p>
        </w:tc>
        <w:tc>
          <w:tcPr>
            <w:tcW w:type="dxa" w:w="2340"/>
            <w:tcBorders>
              <w:top w:val="none" w:color="FFFFFF" w:sz="0"/>
              <w:left w:val="none" w:color="FFFFFF" w:sz="0"/>
              <w:bottom w:val="none" w:color="FFFFFF" w:sz="0"/>
              <w:right w:val="none" w:color="FFFFFF" w:sz="0"/>
            </w:tcBorders>
            <w:shd w:fill="F0F4FF" w:val="clear"/>
            <w:tcMar>
              <w:top w:type="dxa" w:w="100"/>
              <w:left w:type="dxa" w:w="80"/>
              <w:bottom w:type="dxa" w:w="100"/>
              <w:right w:type="dxa" w:w="80"/>
            </w:tcMar>
          </w:tcPr>
          <w:p>
            <w:pPr>
              <w:jc w:val="center"/>
            </w:pPr>
            <w:r>
              <w:rPr>
                <w:rFonts w:ascii="Arial" w:cs="Arial" w:eastAsia="Arial" w:hAnsi="Arial"/>
                <w:b/>
                <w:bCs/>
                <w:color w:val="C0392B"/>
                <w:sz w:val="18"/>
                <w:szCs w:val="18"/>
              </w:rPr>
              <w:t xml:space="preserve">Target</w:t>
            </w:r>
            <w:r>
              <w:br/>
            </w:r>
            <w:r>
              <w:rPr>
                <w:rFonts w:ascii="Arial" w:cs="Arial" w:eastAsia="Arial" w:hAnsi="Arial"/>
                <w:b/>
                <w:bCs/>
                <w:color w:val="000000"/>
                <w:sz w:val="20"/>
                <w:szCs w:val="20"/>
              </w:rPr>
              <w:t xml:space="preserve">1:2 Risk-to-Reward</w:t>
            </w:r>
          </w:p>
        </w:tc>
      </w:tr>
    </w:tbl>
    <w:p>
      <w:pPr>
        <w:spacing w:before="120"/>
      </w:pPr>
      <w:r>
        <w:t xml:space="preserve"/>
      </w:r>
    </w:p>
    <w:p>
      <w:pPr>
        <w:pStyle w:val="Heading1"/>
        <w:pBdr>
          <w:bottom w:val="single" w:color="1F6FEB" w:sz="6" w:space="1"/>
        </w:pBdr>
        <w:spacing w:after="160" w:before="320"/>
      </w:pPr>
      <w:r>
        <w:rPr>
          <w:rFonts w:ascii="Arial" w:cs="Arial" w:eastAsia="Arial" w:hAnsi="Arial"/>
          <w:b/>
          <w:bCs/>
          <w:color w:val="1F6FEB"/>
          <w:sz w:val="32"/>
          <w:szCs w:val="32"/>
        </w:rPr>
        <w:t xml:space="preserve">1. Overview — Trading Disagreement Between Correlated Assets</w:t>
      </w:r>
    </w:p>
    <w:p>
      <w:pPr>
        <w:spacing w:after="80" w:before="60"/>
      </w:pPr>
      <w:r>
        <w:rPr>
          <w:rFonts w:ascii="Arial" w:cs="Arial" w:eastAsia="Arial" w:hAnsi="Arial"/>
          <w:sz w:val="22"/>
          <w:szCs w:val="22"/>
        </w:rPr>
        <w:t xml:space="preserve">The ICT SMT (Smart Money Tool) Divergence Strategy identifies moments when two normally correlated assets — most commonly Bitcoin (BTC) and Ethereum (ETH) — stop agreeing with each other. Because BTC and ETH are highly correlated and typically move in the same direction, any moment where one makes a new price extreme while the other fails to do so is treated as meaningful information: it suggests the current move in the lagging asset is running out of strength, and a shift in momentum may be coming.</w:t>
      </w:r>
    </w:p>
    <w:p>
      <w:pPr>
        <w:spacing w:before="60"/>
      </w:pPr>
      <w:r>
        <w:t xml:space="preserve"/>
      </w:r>
    </w:p>
    <w:p>
      <w:pPr>
        <w:spacing w:after="80" w:before="60"/>
      </w:pPr>
      <w:r>
        <w:rPr>
          <w:rFonts w:ascii="Arial" w:cs="Arial" w:eastAsia="Arial" w:hAnsi="Arial"/>
          <w:sz w:val="22"/>
          <w:szCs w:val="22"/>
        </w:rPr>
        <w:t xml:space="preserve">This is fundamentally a divergence strategy applied across two related instruments instead of between price and a single indicator. Instead of comparing price to RSI or MACD on one chart, SMT divergence compares price action on one asset directly to price action on its correlated partner.</w:t>
      </w:r>
    </w:p>
    <w:p>
      <w:pPr>
        <w:spacing w:before="60"/>
      </w:pPr>
      <w:r>
        <w:t xml:space="preserve"/>
      </w: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600"/>
        <w:gridCol w:w="8760"/>
      </w:tblGrid>
      <w:tr>
        <w:tc>
          <w:tcPr>
            <w:tcW w:type="dxa" w:w="600"/>
            <w:tcBorders>
              <w:top w:val="none" w:color="FFFFFF" w:sz="0"/>
              <w:left w:val="none" w:color="FFFFFF" w:sz="0"/>
              <w:bottom w:val="none" w:color="FFFFFF" w:sz="0"/>
              <w:right w:val="none" w:color="FFFFFF" w:sz="0"/>
            </w:tcBorders>
            <w:shd w:fill="EBF3FF" w:val="clear"/>
            <w:tcMar>
              <w:top w:type="dxa" w:w="100"/>
              <w:left w:type="dxa" w:w="120"/>
              <w:bottom w:type="dxa" w:w="100"/>
              <w:right w:type="dxa" w:w="60"/>
            </w:tcMar>
          </w:tcPr>
          <w:p>
            <w:pPr>
              <w:jc w:val="center"/>
            </w:pPr>
            <w:r>
              <w:rPr>
                <w:sz w:val="28"/>
                <w:szCs w:val="28"/>
              </w:rPr>
              <w:t xml:space="preserve">💡</w:t>
            </w:r>
          </w:p>
        </w:tc>
        <w:tc>
          <w:tcPr>
            <w:tcW w:type="dxa" w:w="8760"/>
            <w:tcBorders>
              <w:top w:val="none" w:color="FFFFFF" w:sz="0"/>
              <w:left w:val="none" w:color="FFFFFF" w:sz="0"/>
              <w:bottom w:val="none" w:color="FFFFFF" w:sz="0"/>
              <w:right w:val="none" w:color="FFFFFF" w:sz="0"/>
            </w:tcBorders>
            <w:shd w:fill="EBF3FF" w:val="clear"/>
            <w:tcMar>
              <w:top w:type="dxa" w:w="100"/>
              <w:left w:type="dxa" w:w="60"/>
              <w:bottom w:type="dxa" w:w="100"/>
              <w:right w:type="dxa" w:w="120"/>
            </w:tcMar>
          </w:tcPr>
          <w:p>
            <w:r>
              <w:rPr>
                <w:rFonts w:ascii="Arial" w:cs="Arial" w:eastAsia="Arial" w:hAnsi="Arial"/>
                <w:i/>
                <w:iCs/>
                <w:color w:val="333333"/>
                <w:sz w:val="21"/>
                <w:szCs w:val="21"/>
              </w:rPr>
              <w:t xml:space="preserve">The core insight: when two assets that normally move together suddenly disagree at a key turning point, the disagreement itself is the signal. One asset is "lying" about the strength of the move — and that weakness tends to get corrected.</w:t>
            </w:r>
          </w:p>
        </w:tc>
      </w:tr>
    </w:tbl>
    <w:p>
      <w:pPr>
        <w:spacing w:before="120"/>
      </w:pPr>
      <w:r>
        <w:t xml:space="preserve"/>
      </w:r>
    </w:p>
    <w:p>
      <w:pPr>
        <w:pStyle w:val="Heading1"/>
        <w:pBdr>
          <w:bottom w:val="single" w:color="1F6FEB" w:sz="6" w:space="1"/>
        </w:pBdr>
        <w:spacing w:after="160" w:before="320"/>
      </w:pPr>
      <w:r>
        <w:rPr>
          <w:rFonts w:ascii="Arial" w:cs="Arial" w:eastAsia="Arial" w:hAnsi="Arial"/>
          <w:b/>
          <w:bCs/>
          <w:color w:val="1F6FEB"/>
          <w:sz w:val="32"/>
          <w:szCs w:val="32"/>
        </w:rPr>
        <w:t xml:space="preserve">2. Core Principle — Correlation and Divergence</w:t>
      </w:r>
    </w:p>
    <w:p>
      <w:pPr>
        <w:spacing w:after="80" w:before="160"/>
        <w:jc w:val="center"/>
      </w:pPr>
      <w:r>
        <w:drawing>
          <wp:inline distT="0" distB="0" distL="0" distR="0">
            <wp:extent cx="5905500" cy="31527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905500" cy="3152775"/>
                    </a:xfrm>
                    <a:prstGeom prst="rect">
                      <a:avLst/>
                    </a:prstGeom>
                  </pic:spPr>
                </pic:pic>
              </a:graphicData>
            </a:graphic>
          </wp:inline>
        </w:drawing>
      </w:r>
    </w:p>
    <w:p>
      <w:pPr>
        <w:spacing w:after="200" w:before="0"/>
        <w:jc w:val="center"/>
      </w:pPr>
      <w:r>
        <w:rPr>
          <w:rFonts w:ascii="Arial" w:cs="Arial" w:eastAsia="Arial" w:hAnsi="Arial"/>
          <w:i/>
          <w:iCs/>
          <w:color w:val="666666"/>
          <w:sz w:val="18"/>
          <w:szCs w:val="18"/>
        </w:rPr>
        <w:t xml:space="preserve">Diagram 1 — Normal correlation (both assets confirm a Higher High together) vs Divergence (one confirms, the other fails)</w:t>
      </w:r>
    </w:p>
    <w:p>
      <w:pPr>
        <w:spacing w:after="80" w:before="60"/>
      </w:pPr>
      <w:r>
        <w:rPr>
          <w:rFonts w:ascii="Arial" w:cs="Arial" w:eastAsia="Arial" w:hAnsi="Arial"/>
          <w:sz w:val="22"/>
          <w:szCs w:val="22"/>
        </w:rPr>
        <w:t xml:space="preserve">In normal market conditions, BTC and ETH mirror each other closely on the chart — when BTC makes a Higher High, ETH typically does too, and vice versa for lows. A divergence occurs specifically when this mirroring breaks down at a price extreme:</w:t>
      </w:r>
    </w:p>
    <w:p>
      <w:pPr>
        <w:spacing w:before="60"/>
      </w:pPr>
      <w:r>
        <w:t xml:space="preserve"/>
      </w:r>
    </w:p>
    <w:p>
      <w:pPr>
        <w:pStyle w:val="ListParagraph"/>
        <w:numPr>
          <w:ilvl w:val="0"/>
          <w:numId w:val="2"/>
        </w:numPr>
        <w:spacing w:after="60" w:before="60"/>
      </w:pPr>
      <w:r>
        <w:rPr>
          <w:rFonts w:ascii="Arial" w:cs="Arial" w:eastAsia="Arial" w:hAnsi="Arial"/>
          <w:sz w:val="22"/>
          <w:szCs w:val="22"/>
        </w:rPr>
        <w:t xml:space="preserve">One asset reaches a NEW extreme (a fresh Higher High or a fresh Lower Low).</w:t>
      </w:r>
    </w:p>
    <w:p>
      <w:pPr>
        <w:pStyle w:val="ListParagraph"/>
        <w:numPr>
          <w:ilvl w:val="0"/>
          <w:numId w:val="2"/>
        </w:numPr>
        <w:spacing w:after="60" w:before="60"/>
      </w:pPr>
      <w:r>
        <w:rPr>
          <w:rFonts w:ascii="Arial" w:cs="Arial" w:eastAsia="Arial" w:hAnsi="Arial"/>
          <w:sz w:val="22"/>
          <w:szCs w:val="22"/>
        </w:rPr>
        <w:t xml:space="preserve">The correlated asset FAILS to reach that same new extreme — instead forming a Lower High (in an up-move) or a Higher Low (in a down-move).</w:t>
      </w:r>
    </w:p>
    <w:p>
      <w:pPr>
        <w:pStyle w:val="ListParagraph"/>
        <w:numPr>
          <w:ilvl w:val="0"/>
          <w:numId w:val="2"/>
        </w:numPr>
        <w:spacing w:after="60" w:before="60"/>
      </w:pPr>
      <w:r>
        <w:rPr>
          <w:rFonts w:ascii="Arial" w:cs="Arial" w:eastAsia="Arial" w:hAnsi="Arial"/>
          <w:sz w:val="22"/>
          <w:szCs w:val="22"/>
        </w:rPr>
        <w:t xml:space="preserve">This failure to confirm is read as weakening conviction behind the move in the lagging asset — which, given how tightly correlated the two assets normally are, signals the broader move itself may be losing steam.</w:t>
      </w:r>
    </w:p>
    <w:p>
      <w:pPr>
        <w:spacing w:before="120"/>
      </w:pPr>
      <w:r>
        <w:t xml:space="preserve"/>
      </w:r>
    </w:p>
    <w:p>
      <w:pPr>
        <w:pStyle w:val="Heading1"/>
        <w:pBdr>
          <w:bottom w:val="single" w:color="C0392B" w:sz="6" w:space="1"/>
        </w:pBdr>
        <w:spacing w:after="160" w:before="320"/>
      </w:pPr>
      <w:r>
        <w:rPr>
          <w:rFonts w:ascii="Arial" w:cs="Arial" w:eastAsia="Arial" w:hAnsi="Arial"/>
          <w:b/>
          <w:bCs/>
          <w:color w:val="C0392B"/>
          <w:sz w:val="32"/>
          <w:szCs w:val="32"/>
        </w:rPr>
        <w:t xml:space="preserve">3. Bearish Divergence — Short Setup</w:t>
      </w:r>
    </w:p>
    <w:p>
      <w:pPr>
        <w:spacing w:after="80" w:before="160"/>
        <w:jc w:val="center"/>
      </w:pPr>
      <w:r>
        <w:drawing>
          <wp:inline distT="0" distB="0" distL="0" distR="0">
            <wp:extent cx="5905500" cy="32766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5905500" cy="3276600"/>
                    </a:xfrm>
                    <a:prstGeom prst="rect">
                      <a:avLst/>
                    </a:prstGeom>
                  </pic:spPr>
                </pic:pic>
              </a:graphicData>
            </a:graphic>
          </wp:inline>
        </w:drawing>
      </w:r>
    </w:p>
    <w:p>
      <w:pPr>
        <w:spacing w:after="200" w:before="0"/>
        <w:jc w:val="center"/>
      </w:pPr>
      <w:r>
        <w:rPr>
          <w:rFonts w:ascii="Arial" w:cs="Arial" w:eastAsia="Arial" w:hAnsi="Arial"/>
          <w:i/>
          <w:iCs/>
          <w:color w:val="666666"/>
          <w:sz w:val="18"/>
          <w:szCs w:val="18"/>
        </w:rPr>
        <w:t xml:space="preserve">Diagram 2 — Bearish SMT: BTC confirms a Higher High while ETH forms a Lower High, triggering a 2-candle confirmation wait before shorting</w:t>
      </w: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FFF0F0" w:val="clear"/>
            <w:tcMar>
              <w:top w:type="dxa" w:w="100"/>
              <w:left w:type="dxa" w:w="160"/>
              <w:bottom w:type="dxa" w:w="40"/>
              <w:right w:type="dxa" w:w="160"/>
            </w:tcMar>
          </w:tcPr>
          <w:p>
            <w:r>
              <w:rPr>
                <w:rFonts w:ascii="Arial" w:cs="Arial" w:eastAsia="Arial" w:hAnsi="Arial"/>
                <w:b/>
                <w:bCs/>
                <w:color w:val="C0392B"/>
                <w:sz w:val="24"/>
                <w:szCs w:val="24"/>
              </w:rPr>
              <w:t xml:space="preserve">Bearish Divergence — Step-by-Step</w:t>
            </w:r>
          </w:p>
        </w:tc>
      </w:tr>
      <w:tr>
        <w:tc>
          <w:tcPr>
            <w:tcW w:type="dxa" w:w="9360"/>
            <w:tcBorders>
              <w:top w:val="none" w:color="FFFFFF" w:sz="0"/>
              <w:left w:val="none" w:color="FFFFFF" w:sz="0"/>
              <w:bottom w:val="none" w:color="FFFFFF" w:sz="0"/>
              <w:right w:val="none" w:color="FFFFFF" w:sz="0"/>
            </w:tcBorders>
            <w:shd w:fill="FFF0F0" w:val="clear"/>
            <w:tcMar>
              <w:top w:type="dxa" w:w="40"/>
              <w:left w:type="dxa" w:w="160"/>
              <w:bottom w:type="dxa" w:w="40"/>
              <w:right w:type="dxa" w:w="160"/>
            </w:tcMar>
          </w:tcPr>
          <w:p>
            <w:pPr>
              <w:pStyle w:val="ListParagraph"/>
              <w:numPr>
                <w:ilvl w:val="0"/>
                <w:numId w:val="3"/>
              </w:numPr>
            </w:pPr>
            <w:r>
              <w:rPr>
                <w:rFonts w:ascii="Arial" w:cs="Arial" w:eastAsia="Arial" w:hAnsi="Arial"/>
                <w:color w:val="222222"/>
                <w:sz w:val="21"/>
                <w:szCs w:val="21"/>
              </w:rPr>
              <w:t xml:space="preserve">Condition: One asset (e.g., BTC) makes a Higher High. The correlated asset (e.g., ETH) fails to break its own previous high and instead forms a Lower High.</w:t>
            </w:r>
          </w:p>
        </w:tc>
      </w:tr>
      <w:tr>
        <w:tc>
          <w:tcPr>
            <w:tcW w:type="dxa" w:w="9360"/>
            <w:tcBorders>
              <w:top w:val="none" w:color="FFFFFF" w:sz="0"/>
              <w:left w:val="none" w:color="FFFFFF" w:sz="0"/>
              <w:bottom w:val="none" w:color="FFFFFF" w:sz="0"/>
              <w:right w:val="none" w:color="FFFFFF" w:sz="0"/>
            </w:tcBorders>
            <w:shd w:fill="FFF0F0" w:val="clear"/>
            <w:tcMar>
              <w:top w:type="dxa" w:w="40"/>
              <w:left w:type="dxa" w:w="160"/>
              <w:bottom w:type="dxa" w:w="40"/>
              <w:right w:type="dxa" w:w="160"/>
            </w:tcMar>
          </w:tcPr>
          <w:p>
            <w:pPr>
              <w:pStyle w:val="ListParagraph"/>
              <w:numPr>
                <w:ilvl w:val="0"/>
                <w:numId w:val="3"/>
              </w:numPr>
            </w:pPr>
            <w:r>
              <w:rPr>
                <w:rFonts w:ascii="Arial" w:cs="Arial" w:eastAsia="Arial" w:hAnsi="Arial"/>
                <w:color w:val="222222"/>
                <w:sz w:val="21"/>
                <w:szCs w:val="21"/>
              </w:rPr>
              <w:t xml:space="preserve">Interpretation: Buyers in the lagging asset (ETH) are becoming weak. Sellers are starting to take control there — and by extension, in the broader correlated move.</w:t>
            </w:r>
          </w:p>
        </w:tc>
      </w:tr>
      <w:tr>
        <w:tc>
          <w:tcPr>
            <w:tcW w:type="dxa" w:w="9360"/>
            <w:tcBorders>
              <w:top w:val="none" w:color="FFFFFF" w:sz="0"/>
              <w:left w:val="none" w:color="FFFFFF" w:sz="0"/>
              <w:bottom w:val="none" w:color="FFFFFF" w:sz="0"/>
              <w:right w:val="none" w:color="FFFFFF" w:sz="0"/>
            </w:tcBorders>
            <w:shd w:fill="FFF0F0" w:val="clear"/>
            <w:tcMar>
              <w:top w:type="dxa" w:w="40"/>
              <w:left w:type="dxa" w:w="160"/>
              <w:bottom w:type="dxa" w:w="40"/>
              <w:right w:type="dxa" w:w="160"/>
            </w:tcMar>
          </w:tcPr>
          <w:p>
            <w:pPr>
              <w:pStyle w:val="ListParagraph"/>
              <w:numPr>
                <w:ilvl w:val="0"/>
                <w:numId w:val="3"/>
              </w:numPr>
            </w:pPr>
            <w:r>
              <w:rPr>
                <w:rFonts w:ascii="Arial" w:cs="Arial" w:eastAsia="Arial" w:hAnsi="Arial"/>
                <w:color w:val="222222"/>
                <w:sz w:val="21"/>
                <w:szCs w:val="21"/>
              </w:rPr>
              <w:t xml:space="preserve">Confirmation: Wait for the SMT signal to appear (manually or via indicator), then wait two additional candles to confirm the signal before entering. This avoids acting on a divergence that resolves itself immediately.</w:t>
            </w:r>
          </w:p>
        </w:tc>
      </w:tr>
      <w:tr>
        <w:tc>
          <w:tcPr>
            <w:tcW w:type="dxa" w:w="9360"/>
            <w:tcBorders>
              <w:top w:val="none" w:color="FFFFFF" w:sz="0"/>
              <w:left w:val="none" w:color="FFFFFF" w:sz="0"/>
              <w:bottom w:val="none" w:color="FFFFFF" w:sz="0"/>
              <w:right w:val="none" w:color="FFFFFF" w:sz="0"/>
            </w:tcBorders>
            <w:shd w:fill="FFF0F0" w:val="clear"/>
            <w:tcMar>
              <w:top w:type="dxa" w:w="40"/>
              <w:left w:type="dxa" w:w="160"/>
              <w:bottom w:type="dxa" w:w="40"/>
              <w:right w:type="dxa" w:w="160"/>
            </w:tcMar>
          </w:tcPr>
          <w:p>
            <w:pPr>
              <w:pStyle w:val="ListParagraph"/>
              <w:numPr>
                <w:ilvl w:val="0"/>
                <w:numId w:val="3"/>
              </w:numPr>
            </w:pPr>
            <w:r>
              <w:rPr>
                <w:rFonts w:ascii="Arial" w:cs="Arial" w:eastAsia="Arial" w:hAnsi="Arial"/>
                <w:color w:val="222222"/>
                <w:sz w:val="21"/>
                <w:szCs w:val="21"/>
              </w:rPr>
              <w:t xml:space="preserve">Entry: Enter a SHORT position once the two-candle confirmation has passed.</w:t>
            </w:r>
          </w:p>
        </w:tc>
      </w:tr>
      <w:tr>
        <w:tc>
          <w:tcPr>
            <w:tcW w:type="dxa" w:w="9360"/>
            <w:tcBorders>
              <w:top w:val="none" w:color="FFFFFF" w:sz="0"/>
              <w:left w:val="none" w:color="FFFFFF" w:sz="0"/>
              <w:bottom w:val="none" w:color="FFFFFF" w:sz="0"/>
              <w:right w:val="none" w:color="FFFFFF" w:sz="0"/>
            </w:tcBorders>
            <w:shd w:fill="FFF0F0" w:val="clear"/>
            <w:tcMar>
              <w:top w:type="dxa" w:w="40"/>
              <w:left w:type="dxa" w:w="160"/>
              <w:bottom w:type="dxa" w:w="40"/>
              <w:right w:type="dxa" w:w="160"/>
            </w:tcMar>
          </w:tcPr>
          <w:p>
            <w:pPr>
              <w:pStyle w:val="ListParagraph"/>
              <w:numPr>
                <w:ilvl w:val="0"/>
                <w:numId w:val="3"/>
              </w:numPr>
            </w:pPr>
            <w:r>
              <w:rPr>
                <w:rFonts w:ascii="Arial" w:cs="Arial" w:eastAsia="Arial" w:hAnsi="Arial"/>
                <w:color w:val="222222"/>
                <w:sz w:val="21"/>
                <w:szCs w:val="21"/>
              </w:rPr>
              <w:t xml:space="preserve">Stop Loss: Place the stop loss slightly above the recent high (the point that would invalidate the bearish divergence if broken).</w:t>
            </w:r>
          </w:p>
        </w:tc>
      </w:tr>
      <w:tr>
        <w:tc>
          <w:tcPr>
            <w:tcW w:type="dxa" w:w="9360"/>
            <w:tcBorders>
              <w:top w:val="none" w:color="FFFFFF" w:sz="0"/>
              <w:left w:val="none" w:color="FFFFFF" w:sz="0"/>
              <w:bottom w:val="none" w:color="FFFFFF" w:sz="0"/>
              <w:right w:val="none" w:color="FFFFFF" w:sz="0"/>
            </w:tcBorders>
            <w:shd w:fill="FFF0F0" w:val="clear"/>
            <w:tcMar>
              <w:top w:type="dxa" w:w="40"/>
              <w:left w:type="dxa" w:w="160"/>
              <w:bottom w:type="dxa" w:w="40"/>
              <w:right w:type="dxa" w:w="160"/>
            </w:tcMar>
          </w:tcPr>
          <w:p>
            <w:pPr>
              <w:pStyle w:val="ListParagraph"/>
              <w:numPr>
                <w:ilvl w:val="0"/>
                <w:numId w:val="3"/>
              </w:numPr>
            </w:pPr>
            <w:r>
              <w:rPr>
                <w:rFonts w:ascii="Arial" w:cs="Arial" w:eastAsia="Arial" w:hAnsi="Arial"/>
                <w:color w:val="222222"/>
                <w:sz w:val="21"/>
                <w:szCs w:val="21"/>
              </w:rPr>
              <w:t xml:space="preserve">Target: Use a 1:2 risk-to-reward ratio, or target the previous swing low as an alternative reference.</w:t>
            </w:r>
          </w:p>
        </w:tc>
      </w:tr>
      <w:tr>
        <w:tc>
          <w:tcPr>
            <w:tcW w:type="dxa" w:w="9360"/>
            <w:tcBorders>
              <w:top w:val="none" w:color="FFFFFF" w:sz="0"/>
              <w:left w:val="none" w:color="FFFFFF" w:sz="0"/>
              <w:bottom w:val="none" w:color="FFFFFF" w:sz="0"/>
              <w:right w:val="none" w:color="FFFFFF" w:sz="0"/>
            </w:tcBorders>
            <w:shd w:fill="FFF0F0" w:val="clear"/>
            <w:tcMar>
              <w:top w:type="dxa" w:w="40"/>
              <w:left w:type="dxa" w:w="160"/>
              <w:bottom w:type="dxa" w:w="40"/>
              <w:right w:type="dxa" w:w="160"/>
            </w:tcMar>
          </w:tcPr>
          <w:p>
            <w:r>
              <w:t xml:space="preserve"/>
            </w:r>
          </w:p>
        </w:tc>
      </w:tr>
    </w:tbl>
    <w:p>
      <w:pPr>
        <w:spacing w:before="120"/>
      </w:pPr>
      <w:r>
        <w:t xml:space="preserve"/>
      </w:r>
    </w:p>
    <w:p>
      <w:pPr>
        <w:pStyle w:val="Heading1"/>
        <w:pBdr>
          <w:bottom w:val="single" w:color="1A7A45" w:sz="6" w:space="1"/>
        </w:pBdr>
        <w:spacing w:after="160" w:before="320"/>
      </w:pPr>
      <w:r>
        <w:rPr>
          <w:rFonts w:ascii="Arial" w:cs="Arial" w:eastAsia="Arial" w:hAnsi="Arial"/>
          <w:b/>
          <w:bCs/>
          <w:color w:val="1A7A45"/>
          <w:sz w:val="32"/>
          <w:szCs w:val="32"/>
        </w:rPr>
        <w:t xml:space="preserve">4. Bullish Divergence — Long Setup</w:t>
      </w:r>
    </w:p>
    <w:p>
      <w:pPr>
        <w:spacing w:after="80" w:before="160"/>
        <w:jc w:val="center"/>
      </w:pPr>
      <w:r>
        <w:drawing>
          <wp:inline distT="0" distB="0" distL="0" distR="0">
            <wp:extent cx="5905500" cy="32766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5905500" cy="3276600"/>
                    </a:xfrm>
                    <a:prstGeom prst="rect">
                      <a:avLst/>
                    </a:prstGeom>
                  </pic:spPr>
                </pic:pic>
              </a:graphicData>
            </a:graphic>
          </wp:inline>
        </w:drawing>
      </w:r>
    </w:p>
    <w:p>
      <w:pPr>
        <w:spacing w:after="200" w:before="0"/>
        <w:jc w:val="center"/>
      </w:pPr>
      <w:r>
        <w:rPr>
          <w:rFonts w:ascii="Arial" w:cs="Arial" w:eastAsia="Arial" w:hAnsi="Arial"/>
          <w:i/>
          <w:iCs/>
          <w:color w:val="666666"/>
          <w:sz w:val="18"/>
          <w:szCs w:val="18"/>
        </w:rPr>
        <w:t xml:space="preserve">Diagram 3 — Bullish SMT: BTC confirms a Lower Low while ETH forms a Higher Low, triggering a 2-candle confirmation wait before going long</w:t>
      </w: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EDFFF5" w:val="clear"/>
            <w:tcMar>
              <w:top w:type="dxa" w:w="100"/>
              <w:left w:type="dxa" w:w="160"/>
              <w:bottom w:type="dxa" w:w="40"/>
              <w:right w:type="dxa" w:w="160"/>
            </w:tcMar>
          </w:tcPr>
          <w:p>
            <w:r>
              <w:rPr>
                <w:rFonts w:ascii="Arial" w:cs="Arial" w:eastAsia="Arial" w:hAnsi="Arial"/>
                <w:b/>
                <w:bCs/>
                <w:color w:val="1A7A45"/>
                <w:sz w:val="24"/>
                <w:szCs w:val="24"/>
              </w:rPr>
              <w:t xml:space="preserve">Bullish Divergence — Step-by-Step</w:t>
            </w:r>
          </w:p>
        </w:tc>
      </w:tr>
      <w:tr>
        <w:tc>
          <w:tcPr>
            <w:tcW w:type="dxa" w:w="9360"/>
            <w:tcBorders>
              <w:top w:val="none" w:color="FFFFFF" w:sz="0"/>
              <w:left w:val="none" w:color="FFFFFF" w:sz="0"/>
              <w:bottom w:val="none" w:color="FFFFFF" w:sz="0"/>
              <w:right w:val="none" w:color="FFFFFF" w:sz="0"/>
            </w:tcBorders>
            <w:shd w:fill="EDFFF5" w:val="clear"/>
            <w:tcMar>
              <w:top w:type="dxa" w:w="40"/>
              <w:left w:type="dxa" w:w="160"/>
              <w:bottom w:type="dxa" w:w="40"/>
              <w:right w:type="dxa" w:w="160"/>
            </w:tcMar>
          </w:tcPr>
          <w:p>
            <w:pPr>
              <w:pStyle w:val="ListParagraph"/>
              <w:numPr>
                <w:ilvl w:val="0"/>
                <w:numId w:val="3"/>
              </w:numPr>
            </w:pPr>
            <w:r>
              <w:rPr>
                <w:rFonts w:ascii="Arial" w:cs="Arial" w:eastAsia="Arial" w:hAnsi="Arial"/>
                <w:color w:val="222222"/>
                <w:sz w:val="21"/>
                <w:szCs w:val="21"/>
              </w:rPr>
              <w:t xml:space="preserve">Condition: One asset (e.g., BTC) makes a Lower Low. The correlated asset (e.g., ETH) fails to make a new low and instead forms a Higher Low.</w:t>
            </w:r>
          </w:p>
        </w:tc>
      </w:tr>
      <w:tr>
        <w:tc>
          <w:tcPr>
            <w:tcW w:type="dxa" w:w="9360"/>
            <w:tcBorders>
              <w:top w:val="none" w:color="FFFFFF" w:sz="0"/>
              <w:left w:val="none" w:color="FFFFFF" w:sz="0"/>
              <w:bottom w:val="none" w:color="FFFFFF" w:sz="0"/>
              <w:right w:val="none" w:color="FFFFFF" w:sz="0"/>
            </w:tcBorders>
            <w:shd w:fill="EDFFF5" w:val="clear"/>
            <w:tcMar>
              <w:top w:type="dxa" w:w="40"/>
              <w:left w:type="dxa" w:w="160"/>
              <w:bottom w:type="dxa" w:w="40"/>
              <w:right w:type="dxa" w:w="160"/>
            </w:tcMar>
          </w:tcPr>
          <w:p>
            <w:pPr>
              <w:pStyle w:val="ListParagraph"/>
              <w:numPr>
                <w:ilvl w:val="0"/>
                <w:numId w:val="3"/>
              </w:numPr>
            </w:pPr>
            <w:r>
              <w:rPr>
                <w:rFonts w:ascii="Arial" w:cs="Arial" w:eastAsia="Arial" w:hAnsi="Arial"/>
                <w:color w:val="222222"/>
                <w:sz w:val="21"/>
                <w:szCs w:val="21"/>
              </w:rPr>
              <w:t xml:space="preserve">Interpretation: Selling pressure is exhausting in the lagging asset (ETH). Buyers are beginning to gain strength there — suggesting the broader downward move may be losing momentum.</w:t>
            </w:r>
          </w:p>
        </w:tc>
      </w:tr>
      <w:tr>
        <w:tc>
          <w:tcPr>
            <w:tcW w:type="dxa" w:w="9360"/>
            <w:tcBorders>
              <w:top w:val="none" w:color="FFFFFF" w:sz="0"/>
              <w:left w:val="none" w:color="FFFFFF" w:sz="0"/>
              <w:bottom w:val="none" w:color="FFFFFF" w:sz="0"/>
              <w:right w:val="none" w:color="FFFFFF" w:sz="0"/>
            </w:tcBorders>
            <w:shd w:fill="EDFFF5" w:val="clear"/>
            <w:tcMar>
              <w:top w:type="dxa" w:w="40"/>
              <w:left w:type="dxa" w:w="160"/>
              <w:bottom w:type="dxa" w:w="40"/>
              <w:right w:type="dxa" w:w="160"/>
            </w:tcMar>
          </w:tcPr>
          <w:p>
            <w:pPr>
              <w:pStyle w:val="ListParagraph"/>
              <w:numPr>
                <w:ilvl w:val="0"/>
                <w:numId w:val="3"/>
              </w:numPr>
            </w:pPr>
            <w:r>
              <w:rPr>
                <w:rFonts w:ascii="Arial" w:cs="Arial" w:eastAsia="Arial" w:hAnsi="Arial"/>
                <w:color w:val="222222"/>
                <w:sz w:val="21"/>
                <w:szCs w:val="21"/>
              </w:rPr>
              <w:t xml:space="preserve">Confirmation: As with the bearish setup, wait for the SMT signal to appear, then wait two additional candles before entering.</w:t>
            </w:r>
          </w:p>
        </w:tc>
      </w:tr>
      <w:tr>
        <w:tc>
          <w:tcPr>
            <w:tcW w:type="dxa" w:w="9360"/>
            <w:tcBorders>
              <w:top w:val="none" w:color="FFFFFF" w:sz="0"/>
              <w:left w:val="none" w:color="FFFFFF" w:sz="0"/>
              <w:bottom w:val="none" w:color="FFFFFF" w:sz="0"/>
              <w:right w:val="none" w:color="FFFFFF" w:sz="0"/>
            </w:tcBorders>
            <w:shd w:fill="EDFFF5" w:val="clear"/>
            <w:tcMar>
              <w:top w:type="dxa" w:w="40"/>
              <w:left w:type="dxa" w:w="160"/>
              <w:bottom w:type="dxa" w:w="40"/>
              <w:right w:type="dxa" w:w="160"/>
            </w:tcMar>
          </w:tcPr>
          <w:p>
            <w:pPr>
              <w:pStyle w:val="ListParagraph"/>
              <w:numPr>
                <w:ilvl w:val="0"/>
                <w:numId w:val="3"/>
              </w:numPr>
            </w:pPr>
            <w:r>
              <w:rPr>
                <w:rFonts w:ascii="Arial" w:cs="Arial" w:eastAsia="Arial" w:hAnsi="Arial"/>
                <w:color w:val="222222"/>
                <w:sz w:val="21"/>
                <w:szCs w:val="21"/>
              </w:rPr>
              <w:t xml:space="preserve">Entry: Enter a LONG position once the two-candle confirmation has passed.</w:t>
            </w:r>
          </w:p>
        </w:tc>
      </w:tr>
      <w:tr>
        <w:tc>
          <w:tcPr>
            <w:tcW w:type="dxa" w:w="9360"/>
            <w:tcBorders>
              <w:top w:val="none" w:color="FFFFFF" w:sz="0"/>
              <w:left w:val="none" w:color="FFFFFF" w:sz="0"/>
              <w:bottom w:val="none" w:color="FFFFFF" w:sz="0"/>
              <w:right w:val="none" w:color="FFFFFF" w:sz="0"/>
            </w:tcBorders>
            <w:shd w:fill="EDFFF5" w:val="clear"/>
            <w:tcMar>
              <w:top w:type="dxa" w:w="40"/>
              <w:left w:type="dxa" w:w="160"/>
              <w:bottom w:type="dxa" w:w="40"/>
              <w:right w:type="dxa" w:w="160"/>
            </w:tcMar>
          </w:tcPr>
          <w:p>
            <w:pPr>
              <w:pStyle w:val="ListParagraph"/>
              <w:numPr>
                <w:ilvl w:val="0"/>
                <w:numId w:val="3"/>
              </w:numPr>
            </w:pPr>
            <w:r>
              <w:rPr>
                <w:rFonts w:ascii="Arial" w:cs="Arial" w:eastAsia="Arial" w:hAnsi="Arial"/>
                <w:color w:val="222222"/>
                <w:sz w:val="21"/>
                <w:szCs w:val="21"/>
              </w:rPr>
              <w:t xml:space="preserve">Stop Loss: Place the stop loss below the recent low (the point that would invalidate the bullish divergence if broken).</w:t>
            </w:r>
          </w:p>
        </w:tc>
      </w:tr>
      <w:tr>
        <w:tc>
          <w:tcPr>
            <w:tcW w:type="dxa" w:w="9360"/>
            <w:tcBorders>
              <w:top w:val="none" w:color="FFFFFF" w:sz="0"/>
              <w:left w:val="none" w:color="FFFFFF" w:sz="0"/>
              <w:bottom w:val="none" w:color="FFFFFF" w:sz="0"/>
              <w:right w:val="none" w:color="FFFFFF" w:sz="0"/>
            </w:tcBorders>
            <w:shd w:fill="EDFFF5" w:val="clear"/>
            <w:tcMar>
              <w:top w:type="dxa" w:w="40"/>
              <w:left w:type="dxa" w:w="160"/>
              <w:bottom w:type="dxa" w:w="40"/>
              <w:right w:type="dxa" w:w="160"/>
            </w:tcMar>
          </w:tcPr>
          <w:p>
            <w:pPr>
              <w:pStyle w:val="ListParagraph"/>
              <w:numPr>
                <w:ilvl w:val="0"/>
                <w:numId w:val="3"/>
              </w:numPr>
            </w:pPr>
            <w:r>
              <w:rPr>
                <w:rFonts w:ascii="Arial" w:cs="Arial" w:eastAsia="Arial" w:hAnsi="Arial"/>
                <w:color w:val="222222"/>
                <w:sz w:val="21"/>
                <w:szCs w:val="21"/>
              </w:rPr>
              <w:t xml:space="preserve">Target: Use a 1:2 risk-to-reward ratio for the profit target.</w:t>
            </w:r>
          </w:p>
        </w:tc>
      </w:tr>
      <w:tr>
        <w:tc>
          <w:tcPr>
            <w:tcW w:type="dxa" w:w="9360"/>
            <w:tcBorders>
              <w:top w:val="none" w:color="FFFFFF" w:sz="0"/>
              <w:left w:val="none" w:color="FFFFFF" w:sz="0"/>
              <w:bottom w:val="none" w:color="FFFFFF" w:sz="0"/>
              <w:right w:val="none" w:color="FFFFFF" w:sz="0"/>
            </w:tcBorders>
            <w:shd w:fill="EDFFF5" w:val="clear"/>
            <w:tcMar>
              <w:top w:type="dxa" w:w="40"/>
              <w:left w:type="dxa" w:w="160"/>
              <w:bottom w:type="dxa" w:w="40"/>
              <w:right w:type="dxa" w:w="160"/>
            </w:tcMar>
          </w:tcPr>
          <w:p>
            <w:r>
              <w:t xml:space="preserve"/>
            </w:r>
          </w:p>
        </w:tc>
      </w:tr>
    </w:tbl>
    <w:p>
      <w:pPr>
        <w:spacing w:before="60"/>
      </w:pPr>
      <w:r>
        <w:t xml:space="preserve"/>
      </w: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600"/>
        <w:gridCol w:w="8760"/>
      </w:tblGrid>
      <w:tr>
        <w:tc>
          <w:tcPr>
            <w:tcW w:type="dxa" w:w="600"/>
            <w:tcBorders>
              <w:top w:val="none" w:color="FFFFFF" w:sz="0"/>
              <w:left w:val="none" w:color="FFFFFF" w:sz="0"/>
              <w:bottom w:val="none" w:color="FFFFFF" w:sz="0"/>
              <w:right w:val="none" w:color="FFFFFF" w:sz="0"/>
            </w:tcBorders>
            <w:shd w:fill="FFF8E8" w:val="clear"/>
            <w:tcMar>
              <w:top w:type="dxa" w:w="100"/>
              <w:left w:type="dxa" w:w="120"/>
              <w:bottom w:type="dxa" w:w="100"/>
              <w:right w:type="dxa" w:w="60"/>
            </w:tcMar>
          </w:tcPr>
          <w:p>
            <w:pPr>
              <w:jc w:val="center"/>
            </w:pPr>
            <w:r>
              <w:rPr>
                <w:sz w:val="28"/>
                <w:szCs w:val="28"/>
              </w:rPr>
              <w:t xml:space="preserve">⚠️</w:t>
            </w:r>
          </w:p>
        </w:tc>
        <w:tc>
          <w:tcPr>
            <w:tcW w:type="dxa" w:w="8760"/>
            <w:tcBorders>
              <w:top w:val="none" w:color="FFFFFF" w:sz="0"/>
              <w:left w:val="none" w:color="FFFFFF" w:sz="0"/>
              <w:bottom w:val="none" w:color="FFFFFF" w:sz="0"/>
              <w:right w:val="none" w:color="FFFFFF" w:sz="0"/>
            </w:tcBorders>
            <w:shd w:fill="FFF8E8" w:val="clear"/>
            <w:tcMar>
              <w:top w:type="dxa" w:w="100"/>
              <w:left w:type="dxa" w:w="60"/>
              <w:bottom w:type="dxa" w:w="100"/>
              <w:right w:type="dxa" w:w="120"/>
            </w:tcMar>
          </w:tcPr>
          <w:p>
            <w:r>
              <w:rPr>
                <w:rFonts w:ascii="Arial" w:cs="Arial" w:eastAsia="Arial" w:hAnsi="Arial"/>
                <w:i/>
                <w:iCs/>
                <w:color w:val="333333"/>
                <w:sz w:val="21"/>
                <w:szCs w:val="21"/>
              </w:rPr>
              <w:t xml:space="preserve">The two-candle confirmation rule exists specifically because the SMT signal — especially when read from an indicator — can occasionally flicker or shift as the most recent candle is still forming. Waiting two full candles after the signal appears filters out a meaningful share of false or premature triggers.</w:t>
            </w:r>
          </w:p>
        </w:tc>
      </w:tr>
    </w:tbl>
    <w:p>
      <w:pPr>
        <w:spacing w:before="120"/>
      </w:pPr>
      <w:r>
        <w:t xml:space="preserve"/>
      </w:r>
    </w:p>
    <w:p>
      <w:pPr>
        <w:pStyle w:val="Heading1"/>
        <w:pBdr>
          <w:bottom w:val="single" w:color="1F6FEB" w:sz="6" w:space="1"/>
        </w:pBdr>
        <w:spacing w:after="160" w:before="320"/>
      </w:pPr>
      <w:r>
        <w:rPr>
          <w:rFonts w:ascii="Arial" w:cs="Arial" w:eastAsia="Arial" w:hAnsi="Arial"/>
          <w:b/>
          <w:bCs/>
          <w:color w:val="1F6FEB"/>
          <w:sz w:val="32"/>
          <w:szCs w:val="32"/>
        </w:rPr>
        <w:t xml:space="preserve">5. Tools and Chart Settings</w:t>
      </w:r>
    </w:p>
    <w:p>
      <w:pPr>
        <w:spacing w:after="80" w:before="160"/>
        <w:jc w:val="center"/>
      </w:pPr>
      <w:r>
        <w:drawing>
          <wp:inline distT="0" distB="0" distL="0" distR="0">
            <wp:extent cx="5905500" cy="34099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5905500" cy="3409950"/>
                    </a:xfrm>
                    <a:prstGeom prst="rect">
                      <a:avLst/>
                    </a:prstGeom>
                  </pic:spPr>
                </pic:pic>
              </a:graphicData>
            </a:graphic>
          </wp:inline>
        </w:drawing>
      </w:r>
    </w:p>
    <w:p>
      <w:pPr>
        <w:spacing w:after="200" w:before="0"/>
        <w:jc w:val="center"/>
      </w:pPr>
      <w:r>
        <w:rPr>
          <w:rFonts w:ascii="Arial" w:cs="Arial" w:eastAsia="Arial" w:hAnsi="Arial"/>
          <w:i/>
          <w:iCs/>
          <w:color w:val="666666"/>
          <w:sz w:val="18"/>
          <w:szCs w:val="18"/>
        </w:rPr>
        <w:t xml:space="preserve">Diagram 4 — SMT Divergence (TFO) indicator settings, plus the full one-month backtest scorecard (119 trades)</w:t>
      </w:r>
    </w:p>
    <w:p>
      <w:pPr>
        <w:spacing w:after="80" w:before="60"/>
      </w:pPr>
      <w:r>
        <w:rPr>
          <w:rFonts w:ascii="Arial" w:cs="Arial" w:eastAsia="Arial" w:hAnsi="Arial"/>
          <w:sz w:val="22"/>
          <w:szCs w:val="22"/>
        </w:rPr>
        <w:t xml:space="preserve">While SMT divergence can be identified manually by watching two charts side by side, the strategy is built around the "SMT Divergence (TFO)" indicator on TradingView, which automates detection of the divergence pattern between two specified symbols.</w:t>
      </w:r>
    </w:p>
    <w:p>
      <w:pPr>
        <w:spacing w:before="6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1E3A5F" w:val="clear"/>
            <w:tcMar>
              <w:top w:type="dxa" w:w="80"/>
              <w:left w:type="dxa" w:w="160"/>
              <w:bottom w:type="dxa" w:w="80"/>
              <w:right w:type="dxa" w:w="120"/>
            </w:tcMar>
          </w:tcPr>
          <w:p>
            <w:r>
              <w:rPr>
                <w:rFonts w:ascii="Arial" w:cs="Arial" w:eastAsia="Arial" w:hAnsi="Arial"/>
                <w:b/>
                <w:bCs/>
                <w:color w:val="FFFFFF"/>
                <w:sz w:val="21"/>
                <w:szCs w:val="21"/>
              </w:rPr>
              <w:t xml:space="preserve">Setting</w:t>
            </w:r>
          </w:p>
        </w:tc>
        <w:tc>
          <w:tcPr>
            <w:tcW w:type="dxa" w:w="6360"/>
            <w:tcBorders>
              <w:top w:val="single" w:color="CCCCCC" w:sz="1"/>
              <w:left w:val="single" w:color="CCCCCC" w:sz="1"/>
              <w:bottom w:val="single" w:color="CCCCCC" w:sz="1"/>
              <w:right w:val="single" w:color="CCCCCC" w:sz="1"/>
            </w:tcBorders>
            <w:shd w:fill="1E3A5F" w:val="clear"/>
            <w:tcMar>
              <w:top w:type="dxa" w:w="80"/>
              <w:left w:type="dxa" w:w="160"/>
              <w:bottom w:type="dxa" w:w="80"/>
              <w:right w:type="dxa" w:w="120"/>
            </w:tcMar>
          </w:tcPr>
          <w:p>
            <w:r>
              <w:rPr>
                <w:rFonts w:ascii="Arial" w:cs="Arial" w:eastAsia="Arial" w:hAnsi="Arial"/>
                <w:b/>
                <w:bCs/>
                <w:color w:val="FFFFFF"/>
                <w:sz w:val="21"/>
                <w:szCs w:val="21"/>
              </w:rPr>
              <w:t xml:space="preserve">Specification</w:t>
            </w:r>
          </w:p>
        </w:tc>
      </w:tr>
      <w:tr>
        <w:tc>
          <w:tcPr>
            <w:tcW w:type="dxa" w:w="3000"/>
            <w:tcBorders>
              <w:top w:val="single" w:color="CCCCCC" w:sz="1"/>
              <w:left w:val="single" w:color="CCCCCC" w:sz="1"/>
              <w:bottom w:val="single" w:color="CCCCCC" w:sz="1"/>
              <w:right w:val="single" w:color="CCCCCC" w:sz="1"/>
            </w:tcBorders>
            <w:shd w:fill="EBF3FF" w:val="clear"/>
            <w:tcMar>
              <w:top w:type="dxa" w:w="80"/>
              <w:left w:type="dxa" w:w="160"/>
              <w:bottom w:type="dxa" w:w="80"/>
              <w:right w:type="dxa" w:w="120"/>
            </w:tcMar>
          </w:tcPr>
          <w:p>
            <w:r>
              <w:rPr>
                <w:rFonts w:ascii="Arial" w:cs="Arial" w:eastAsia="Arial" w:hAnsi="Arial"/>
                <w:sz w:val="21"/>
                <w:szCs w:val="21"/>
              </w:rPr>
              <w:t xml:space="preserve">Timeframe</w:t>
            </w:r>
          </w:p>
        </w:tc>
        <w:tc>
          <w:tcPr>
            <w:tcW w:type="dxa" w:w="636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20"/>
            </w:tcMar>
          </w:tcPr>
          <w:p>
            <w:r>
              <w:rPr>
                <w:rFonts w:ascii="Arial" w:cs="Arial" w:eastAsia="Arial" w:hAnsi="Arial"/>
                <w:sz w:val="21"/>
                <w:szCs w:val="21"/>
              </w:rPr>
              <w:t xml:space="preserve">5-minute chart — specifically backtested and recommended for this strategy</w:t>
            </w:r>
          </w:p>
        </w:tc>
      </w:tr>
      <w:tr>
        <w:tc>
          <w:tcPr>
            <w:tcW w:type="dxa" w:w="3000"/>
            <w:tcBorders>
              <w:top w:val="single" w:color="CCCCCC" w:sz="1"/>
              <w:left w:val="single" w:color="CCCCCC" w:sz="1"/>
              <w:bottom w:val="single" w:color="CCCCCC" w:sz="1"/>
              <w:right w:val="single" w:color="CCCCCC" w:sz="1"/>
            </w:tcBorders>
            <w:shd w:fill="EBF3FF" w:val="clear"/>
            <w:tcMar>
              <w:top w:type="dxa" w:w="80"/>
              <w:left w:type="dxa" w:w="160"/>
              <w:bottom w:type="dxa" w:w="80"/>
              <w:right w:type="dxa" w:w="120"/>
            </w:tcMar>
          </w:tcPr>
          <w:p>
            <w:r>
              <w:rPr>
                <w:rFonts w:ascii="Arial" w:cs="Arial" w:eastAsia="Arial" w:hAnsi="Arial"/>
                <w:sz w:val="21"/>
                <w:szCs w:val="21"/>
              </w:rPr>
              <w:t xml:space="preserve">Pivot Strength</w:t>
            </w:r>
          </w:p>
        </w:tc>
        <w:tc>
          <w:tcPr>
            <w:tcW w:type="dxa" w:w="636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20"/>
            </w:tcMar>
          </w:tcPr>
          <w:p>
            <w:r>
              <w:rPr>
                <w:rFonts w:ascii="Arial" w:cs="Arial" w:eastAsia="Arial" w:hAnsi="Arial"/>
                <w:sz w:val="21"/>
                <w:szCs w:val="21"/>
              </w:rPr>
              <w:t xml:space="preserve">Set to 2 in the indicator settings</w:t>
            </w:r>
          </w:p>
        </w:tc>
      </w:tr>
      <w:tr>
        <w:tc>
          <w:tcPr>
            <w:tcW w:type="dxa" w:w="3000"/>
            <w:tcBorders>
              <w:top w:val="single" w:color="CCCCCC" w:sz="1"/>
              <w:left w:val="single" w:color="CCCCCC" w:sz="1"/>
              <w:bottom w:val="single" w:color="CCCCCC" w:sz="1"/>
              <w:right w:val="single" w:color="CCCCCC" w:sz="1"/>
            </w:tcBorders>
            <w:shd w:fill="EBF3FF" w:val="clear"/>
            <w:tcMar>
              <w:top w:type="dxa" w:w="80"/>
              <w:left w:type="dxa" w:w="160"/>
              <w:bottom w:type="dxa" w:w="80"/>
              <w:right w:type="dxa" w:w="120"/>
            </w:tcMar>
          </w:tcPr>
          <w:p>
            <w:r>
              <w:rPr>
                <w:rFonts w:ascii="Arial" w:cs="Arial" w:eastAsia="Arial" w:hAnsi="Arial"/>
                <w:sz w:val="21"/>
                <w:szCs w:val="21"/>
              </w:rPr>
              <w:t xml:space="preserve">Comparison Symbol</w:t>
            </w:r>
          </w:p>
        </w:tc>
        <w:tc>
          <w:tcPr>
            <w:tcW w:type="dxa" w:w="636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20"/>
            </w:tcMar>
          </w:tcPr>
          <w:p>
            <w:r>
              <w:rPr>
                <w:rFonts w:ascii="Arial" w:cs="Arial" w:eastAsia="Arial" w:hAnsi="Arial"/>
                <w:sz w:val="21"/>
                <w:szCs w:val="21"/>
              </w:rPr>
              <w:t xml:space="preserve">On the ETH chart, set the indicator's comparison symbol to BTC (and vice versa when trading the BTC chart) — the indicator needs the other asset to compare against</w:t>
            </w:r>
          </w:p>
        </w:tc>
      </w:tr>
      <w:tr>
        <w:tc>
          <w:tcPr>
            <w:tcW w:type="dxa" w:w="3000"/>
            <w:tcBorders>
              <w:top w:val="single" w:color="CCCCCC" w:sz="1"/>
              <w:left w:val="single" w:color="CCCCCC" w:sz="1"/>
              <w:bottom w:val="single" w:color="CCCCCC" w:sz="1"/>
              <w:right w:val="single" w:color="CCCCCC" w:sz="1"/>
            </w:tcBorders>
            <w:shd w:fill="EBF3FF" w:val="clear"/>
            <w:tcMar>
              <w:top w:type="dxa" w:w="80"/>
              <w:left w:type="dxa" w:w="160"/>
              <w:bottom w:type="dxa" w:w="80"/>
              <w:right w:type="dxa" w:w="120"/>
            </w:tcMar>
          </w:tcPr>
          <w:p>
            <w:r>
              <w:rPr>
                <w:rFonts w:ascii="Arial" w:cs="Arial" w:eastAsia="Arial" w:hAnsi="Arial"/>
                <w:sz w:val="21"/>
                <w:szCs w:val="21"/>
              </w:rPr>
              <w:t xml:space="preserve">Exchange Consistency</w:t>
            </w:r>
          </w:p>
        </w:tc>
        <w:tc>
          <w:tcPr>
            <w:tcW w:type="dxa" w:w="636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20"/>
            </w:tcMar>
          </w:tcPr>
          <w:p>
            <w:r>
              <w:rPr>
                <w:rFonts w:ascii="Arial" w:cs="Arial" w:eastAsia="Arial" w:hAnsi="Arial"/>
                <w:sz w:val="21"/>
                <w:szCs w:val="21"/>
              </w:rPr>
              <w:t xml:space="preserve">Use charts from the SAME exchange (e.g., Delta Exchange) for both assets to ensure accurate comparison — cross-exchange price discrepancies can distort the signal</w:t>
            </w:r>
          </w:p>
        </w:tc>
      </w:tr>
    </w:tbl>
    <w:p>
      <w:pPr>
        <w:spacing w:before="120"/>
      </w:pPr>
      <w:r>
        <w:t xml:space="preserve"/>
      </w:r>
    </w:p>
    <w:p>
      <w:pPr>
        <w:pStyle w:val="Heading1"/>
        <w:pBdr>
          <w:bottom w:val="single" w:color="1F6FEB" w:sz="6" w:space="1"/>
        </w:pBdr>
        <w:spacing w:after="160" w:before="320"/>
      </w:pPr>
      <w:r>
        <w:rPr>
          <w:rFonts w:ascii="Arial" w:cs="Arial" w:eastAsia="Arial" w:hAnsi="Arial"/>
          <w:b/>
          <w:bCs/>
          <w:color w:val="1F6FEB"/>
          <w:sz w:val="32"/>
          <w:szCs w:val="32"/>
        </w:rPr>
        <w:t xml:space="preserve">6. Backtest Results and Risk Management</w:t>
      </w:r>
    </w:p>
    <w:p>
      <w:pPr>
        <w:spacing w:after="80" w:before="60"/>
      </w:pPr>
      <w:r>
        <w:rPr>
          <w:rFonts w:ascii="Arial" w:cs="Arial" w:eastAsia="Arial" w:hAnsi="Arial"/>
          <w:sz w:val="22"/>
          <w:szCs w:val="22"/>
        </w:rPr>
        <w:t xml:space="preserve">The strategy was tested over a one-month period, producing the following results across 119 total trades:</w:t>
      </w:r>
    </w:p>
    <w:p>
      <w:pPr>
        <w:spacing w:before="6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20"/>
        <w:gridCol w:w="3120"/>
        <w:gridCol w:w="3120"/>
      </w:tblGrid>
      <w:tr>
        <w:tc>
          <w:tcPr>
            <w:tcW w:type="dxa" w:w="3120"/>
            <w:tcBorders>
              <w:top w:val="single" w:color="CCCCCC" w:sz="1"/>
              <w:left w:val="single" w:color="CCCCCC" w:sz="1"/>
              <w:bottom w:val="single" w:color="CCCCCC" w:sz="1"/>
              <w:right w:val="single" w:color="CCCCCC" w:sz="1"/>
            </w:tcBorders>
            <w:shd w:fill="1E3A5F" w:val="clear"/>
            <w:tcMar>
              <w:top w:type="dxa" w:w="80"/>
              <w:left w:type="dxa" w:w="160"/>
              <w:bottom w:type="dxa" w:w="80"/>
              <w:right w:type="dxa" w:w="120"/>
            </w:tcMar>
          </w:tcPr>
          <w:p>
            <w:r>
              <w:rPr>
                <w:rFonts w:ascii="Arial" w:cs="Arial" w:eastAsia="Arial" w:hAnsi="Arial"/>
                <w:b/>
                <w:bCs/>
                <w:color w:val="FFFFFF"/>
                <w:sz w:val="21"/>
                <w:szCs w:val="21"/>
              </w:rPr>
              <w:t xml:space="preserve">Scope</w:t>
            </w:r>
          </w:p>
        </w:tc>
        <w:tc>
          <w:tcPr>
            <w:tcW w:type="dxa" w:w="3120"/>
            <w:tcBorders>
              <w:top w:val="single" w:color="CCCCCC" w:sz="1"/>
              <w:left w:val="single" w:color="CCCCCC" w:sz="1"/>
              <w:bottom w:val="single" w:color="CCCCCC" w:sz="1"/>
              <w:right w:val="single" w:color="CCCCCC" w:sz="1"/>
            </w:tcBorders>
            <w:shd w:fill="1E3A5F" w:val="clear"/>
            <w:tcMar>
              <w:top w:type="dxa" w:w="80"/>
              <w:left w:type="dxa" w:w="160"/>
              <w:bottom w:type="dxa" w:w="80"/>
              <w:right w:type="dxa" w:w="120"/>
            </w:tcMar>
          </w:tcPr>
          <w:p>
            <w:r>
              <w:rPr>
                <w:rFonts w:ascii="Arial" w:cs="Arial" w:eastAsia="Arial" w:hAnsi="Arial"/>
                <w:b/>
                <w:bCs/>
                <w:color w:val="FFFFFF"/>
                <w:sz w:val="21"/>
                <w:szCs w:val="21"/>
              </w:rPr>
              <w:t xml:space="preserve">Win Rate</w:t>
            </w:r>
          </w:p>
        </w:tc>
        <w:tc>
          <w:tcPr>
            <w:tcW w:type="dxa" w:w="3120"/>
            <w:tcBorders>
              <w:top w:val="single" w:color="CCCCCC" w:sz="1"/>
              <w:left w:val="single" w:color="CCCCCC" w:sz="1"/>
              <w:bottom w:val="single" w:color="CCCCCC" w:sz="1"/>
              <w:right w:val="single" w:color="CCCCCC" w:sz="1"/>
            </w:tcBorders>
            <w:shd w:fill="1E3A5F" w:val="clear"/>
            <w:tcMar>
              <w:top w:type="dxa" w:w="80"/>
              <w:left w:type="dxa" w:w="160"/>
              <w:bottom w:type="dxa" w:w="80"/>
              <w:right w:type="dxa" w:w="120"/>
            </w:tcMar>
          </w:tcPr>
          <w:p>
            <w:r>
              <w:rPr>
                <w:rFonts w:ascii="Arial" w:cs="Arial" w:eastAsia="Arial" w:hAnsi="Arial"/>
                <w:b/>
                <w:bCs/>
                <w:color w:val="FFFFFF"/>
                <w:sz w:val="21"/>
                <w:szCs w:val="21"/>
              </w:rPr>
              <w:t xml:space="preserve">Notes</w:t>
            </w:r>
          </w:p>
        </w:tc>
      </w:tr>
      <w:tr>
        <w:tc>
          <w:tcPr>
            <w:tcW w:type="dxa" w:w="3120"/>
            <w:tcBorders>
              <w:top w:val="single" w:color="CCCCCC" w:sz="1"/>
              <w:left w:val="single" w:color="CCCCCC" w:sz="1"/>
              <w:bottom w:val="single" w:color="CCCCCC" w:sz="1"/>
              <w:right w:val="single" w:color="CCCCCC" w:sz="1"/>
            </w:tcBorders>
            <w:shd w:fill="EBF3FF" w:val="clear"/>
            <w:tcMar>
              <w:top w:type="dxa" w:w="80"/>
              <w:left w:type="dxa" w:w="160"/>
              <w:bottom w:type="dxa" w:w="80"/>
              <w:right w:type="dxa" w:w="120"/>
            </w:tcMar>
          </w:tcPr>
          <w:p>
            <w:r>
              <w:rPr>
                <w:rFonts w:ascii="Arial" w:cs="Arial" w:eastAsia="Arial" w:hAnsi="Arial"/>
                <w:sz w:val="21"/>
                <w:szCs w:val="21"/>
              </w:rPr>
              <w:t xml:space="preserve">Overall (119 trades)</w:t>
            </w:r>
          </w:p>
        </w:tc>
        <w:tc>
          <w:tcPr>
            <w:tcW w:type="dxa" w:w="312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20"/>
            </w:tcMar>
          </w:tcPr>
          <w:p>
            <w:r>
              <w:rPr>
                <w:rFonts w:ascii="Arial" w:cs="Arial" w:eastAsia="Arial" w:hAnsi="Arial"/>
                <w:sz w:val="21"/>
                <w:szCs w:val="21"/>
              </w:rPr>
              <w:t xml:space="preserve">~51%</w:t>
            </w:r>
          </w:p>
        </w:tc>
        <w:tc>
          <w:tcPr>
            <w:tcW w:type="dxa" w:w="312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20"/>
            </w:tcMar>
          </w:tcPr>
          <w:p>
            <w:r>
              <w:rPr>
                <w:rFonts w:ascii="Arial" w:cs="Arial" w:eastAsia="Arial" w:hAnsi="Arial"/>
                <w:sz w:val="21"/>
                <w:szCs w:val="21"/>
              </w:rPr>
              <w:t xml:space="preserve">Profitable when paired with strict 1:2 RR</w:t>
            </w:r>
          </w:p>
        </w:tc>
      </w:tr>
      <w:tr>
        <w:tc>
          <w:tcPr>
            <w:tcW w:type="dxa" w:w="3120"/>
            <w:tcBorders>
              <w:top w:val="single" w:color="CCCCCC" w:sz="1"/>
              <w:left w:val="single" w:color="CCCCCC" w:sz="1"/>
              <w:bottom w:val="single" w:color="CCCCCC" w:sz="1"/>
              <w:right w:val="single" w:color="CCCCCC" w:sz="1"/>
            </w:tcBorders>
            <w:shd w:fill="EBF3FF" w:val="clear"/>
            <w:tcMar>
              <w:top w:type="dxa" w:w="80"/>
              <w:left w:type="dxa" w:w="160"/>
              <w:bottom w:type="dxa" w:w="80"/>
              <w:right w:type="dxa" w:w="120"/>
            </w:tcMar>
          </w:tcPr>
          <w:p>
            <w:r>
              <w:rPr>
                <w:rFonts w:ascii="Arial" w:cs="Arial" w:eastAsia="Arial" w:hAnsi="Arial"/>
                <w:sz w:val="21"/>
                <w:szCs w:val="21"/>
              </w:rPr>
              <w:t xml:space="preserve">Ethereum (ETH) trades</w:t>
            </w:r>
          </w:p>
        </w:tc>
        <w:tc>
          <w:tcPr>
            <w:tcW w:type="dxa" w:w="3120"/>
            <w:tcBorders>
              <w:top w:val="single" w:color="CCCCCC" w:sz="1"/>
              <w:left w:val="single" w:color="CCCCCC" w:sz="1"/>
              <w:bottom w:val="single" w:color="CCCCCC" w:sz="1"/>
              <w:right w:val="single" w:color="CCCCCC" w:sz="1"/>
            </w:tcBorders>
            <w:shd w:fill="EDFFF5" w:val="clear"/>
            <w:tcMar>
              <w:top w:type="dxa" w:w="80"/>
              <w:left w:type="dxa" w:w="160"/>
              <w:bottom w:type="dxa" w:w="80"/>
              <w:right w:type="dxa" w:w="120"/>
            </w:tcMar>
          </w:tcPr>
          <w:p>
            <w:r>
              <w:rPr>
                <w:rFonts w:ascii="Arial" w:cs="Arial" w:eastAsia="Arial" w:hAnsi="Arial"/>
                <w:sz w:val="21"/>
                <w:szCs w:val="21"/>
              </w:rPr>
              <w:t xml:space="preserve">57%</w:t>
            </w:r>
          </w:p>
        </w:tc>
        <w:tc>
          <w:tcPr>
            <w:tcW w:type="dxa" w:w="3120"/>
            <w:tcBorders>
              <w:top w:val="single" w:color="CCCCCC" w:sz="1"/>
              <w:left w:val="single" w:color="CCCCCC" w:sz="1"/>
              <w:bottom w:val="single" w:color="CCCCCC" w:sz="1"/>
              <w:right w:val="single" w:color="CCCCCC" w:sz="1"/>
            </w:tcBorders>
            <w:shd w:fill="EDFFF5" w:val="clear"/>
            <w:tcMar>
              <w:top w:type="dxa" w:w="80"/>
              <w:left w:type="dxa" w:w="160"/>
              <w:bottom w:type="dxa" w:w="80"/>
              <w:right w:type="dxa" w:w="120"/>
            </w:tcMar>
          </w:tcPr>
          <w:p>
            <w:r>
              <w:rPr>
                <w:rFonts w:ascii="Arial" w:cs="Arial" w:eastAsia="Arial" w:hAnsi="Arial"/>
                <w:sz w:val="21"/>
                <w:szCs w:val="21"/>
              </w:rPr>
              <w:t xml:space="preserve">Stronger-performing asset in this backtest</w:t>
            </w:r>
          </w:p>
        </w:tc>
      </w:tr>
      <w:tr>
        <w:tc>
          <w:tcPr>
            <w:tcW w:type="dxa" w:w="3120"/>
            <w:tcBorders>
              <w:top w:val="single" w:color="CCCCCC" w:sz="1"/>
              <w:left w:val="single" w:color="CCCCCC" w:sz="1"/>
              <w:bottom w:val="single" w:color="CCCCCC" w:sz="1"/>
              <w:right w:val="single" w:color="CCCCCC" w:sz="1"/>
            </w:tcBorders>
            <w:shd w:fill="EBF3FF" w:val="clear"/>
            <w:tcMar>
              <w:top w:type="dxa" w:w="80"/>
              <w:left w:type="dxa" w:w="160"/>
              <w:bottom w:type="dxa" w:w="80"/>
              <w:right w:type="dxa" w:w="120"/>
            </w:tcMar>
          </w:tcPr>
          <w:p>
            <w:r>
              <w:rPr>
                <w:rFonts w:ascii="Arial" w:cs="Arial" w:eastAsia="Arial" w:hAnsi="Arial"/>
                <w:sz w:val="21"/>
                <w:szCs w:val="21"/>
              </w:rPr>
              <w:t xml:space="preserve">Bitcoin (BTC) trades</w:t>
            </w:r>
          </w:p>
        </w:tc>
        <w:tc>
          <w:tcPr>
            <w:tcW w:type="dxa" w:w="3120"/>
            <w:tcBorders>
              <w:top w:val="single" w:color="CCCCCC" w:sz="1"/>
              <w:left w:val="single" w:color="CCCCCC" w:sz="1"/>
              <w:bottom w:val="single" w:color="CCCCCC" w:sz="1"/>
              <w:right w:val="single" w:color="CCCCCC" w:sz="1"/>
            </w:tcBorders>
            <w:shd w:fill="FFF8E8" w:val="clear"/>
            <w:tcMar>
              <w:top w:type="dxa" w:w="80"/>
              <w:left w:type="dxa" w:w="160"/>
              <w:bottom w:type="dxa" w:w="80"/>
              <w:right w:type="dxa" w:w="120"/>
            </w:tcMar>
          </w:tcPr>
          <w:p>
            <w:r>
              <w:rPr>
                <w:rFonts w:ascii="Arial" w:cs="Arial" w:eastAsia="Arial" w:hAnsi="Arial"/>
                <w:sz w:val="21"/>
                <w:szCs w:val="21"/>
              </w:rPr>
              <w:t xml:space="preserve">44%</w:t>
            </w:r>
          </w:p>
        </w:tc>
        <w:tc>
          <w:tcPr>
            <w:tcW w:type="dxa" w:w="3120"/>
            <w:tcBorders>
              <w:top w:val="single" w:color="CCCCCC" w:sz="1"/>
              <w:left w:val="single" w:color="CCCCCC" w:sz="1"/>
              <w:bottom w:val="single" w:color="CCCCCC" w:sz="1"/>
              <w:right w:val="single" w:color="CCCCCC" w:sz="1"/>
            </w:tcBorders>
            <w:shd w:fill="FFF8E8" w:val="clear"/>
            <w:tcMar>
              <w:top w:type="dxa" w:w="80"/>
              <w:left w:type="dxa" w:w="160"/>
              <w:bottom w:type="dxa" w:w="80"/>
              <w:right w:type="dxa" w:w="120"/>
            </w:tcMar>
          </w:tcPr>
          <w:p>
            <w:r>
              <w:rPr>
                <w:rFonts w:ascii="Arial" w:cs="Arial" w:eastAsia="Arial" w:hAnsi="Arial"/>
                <w:sz w:val="21"/>
                <w:szCs w:val="21"/>
              </w:rPr>
              <w:t xml:space="preserve">Weaker, but still viable given the 1:2 RR structure</w:t>
            </w:r>
          </w:p>
        </w:tc>
      </w:tr>
    </w:tbl>
    <w:p>
      <w:pPr>
        <w:spacing w:before="60"/>
      </w:pPr>
      <w:r>
        <w:t xml:space="preserve"/>
      </w:r>
    </w:p>
    <w:p>
      <w:pPr>
        <w:spacing w:after="80" w:before="60"/>
      </w:pPr>
      <w:r>
        <w:rPr>
          <w:rFonts w:ascii="Arial" w:cs="Arial" w:eastAsia="Arial" w:hAnsi="Arial"/>
          <w:sz w:val="22"/>
          <w:szCs w:val="22"/>
        </w:rPr>
        <w:t xml:space="preserve">A roughly 50% win rate would be a losing proposition at 1:1 risk-to-reward, but becomes solidly profitable at 1:2 — this is precisely why the risk management rule is treated as essential to the strategy, not optional.</w:t>
      </w:r>
    </w:p>
    <w:p>
      <w:pPr>
        <w:spacing w:before="60"/>
      </w:pPr>
      <w:r>
        <w:t xml:space="preserve"/>
      </w: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600"/>
        <w:gridCol w:w="8760"/>
      </w:tblGrid>
      <w:tr>
        <w:tc>
          <w:tcPr>
            <w:tcW w:type="dxa" w:w="600"/>
            <w:tcBorders>
              <w:top w:val="none" w:color="FFFFFF" w:sz="0"/>
              <w:left w:val="none" w:color="FFFFFF" w:sz="0"/>
              <w:bottom w:val="none" w:color="FFFFFF" w:sz="0"/>
              <w:right w:val="none" w:color="FFFFFF" w:sz="0"/>
            </w:tcBorders>
            <w:shd w:fill="EBF3FF" w:val="clear"/>
            <w:tcMar>
              <w:top w:type="dxa" w:w="100"/>
              <w:left w:type="dxa" w:w="120"/>
              <w:bottom w:type="dxa" w:w="100"/>
              <w:right w:type="dxa" w:w="60"/>
            </w:tcMar>
          </w:tcPr>
          <w:p>
            <w:pPr>
              <w:jc w:val="center"/>
            </w:pPr>
            <w:r>
              <w:rPr>
                <w:sz w:val="28"/>
                <w:szCs w:val="28"/>
              </w:rPr>
              <w:t xml:space="preserve">🔑</w:t>
            </w:r>
          </w:p>
        </w:tc>
        <w:tc>
          <w:tcPr>
            <w:tcW w:type="dxa" w:w="8760"/>
            <w:tcBorders>
              <w:top w:val="none" w:color="FFFFFF" w:sz="0"/>
              <w:left w:val="none" w:color="FFFFFF" w:sz="0"/>
              <w:bottom w:val="none" w:color="FFFFFF" w:sz="0"/>
              <w:right w:val="none" w:color="FFFFFF" w:sz="0"/>
            </w:tcBorders>
            <w:shd w:fill="EBF3FF" w:val="clear"/>
            <w:tcMar>
              <w:top w:type="dxa" w:w="100"/>
              <w:left w:type="dxa" w:w="60"/>
              <w:bottom w:type="dxa" w:w="100"/>
              <w:right w:type="dxa" w:w="120"/>
            </w:tcMar>
          </w:tcPr>
          <w:p>
            <w:r>
              <w:rPr>
                <w:rFonts w:ascii="Arial" w:cs="Arial" w:eastAsia="Arial" w:hAnsi="Arial"/>
                <w:i/>
                <w:iCs/>
                <w:color w:val="333333"/>
                <w:sz w:val="21"/>
                <w:szCs w:val="21"/>
              </w:rPr>
              <w:t xml:space="preserve">At a 50% win rate with a strict 1:2 RR: 10 trades produce 5 wins worth +2R each (+10R total) and 5 losses worth -1R each (-5R total) — a net of +5R. The strategy's profitability comes directly from disciplined risk-reward sizing, not from a high win rate.</w:t>
            </w:r>
          </w:p>
        </w:tc>
      </w:tr>
    </w:tbl>
    <w:p>
      <w:pPr>
        <w:spacing w:before="60"/>
      </w:pPr>
      <w:r>
        <w:t xml:space="preserve"/>
      </w:r>
    </w:p>
    <w:p>
      <w:pPr>
        <w:pStyle w:val="Heading2"/>
        <w:spacing w:after="120" w:before="240"/>
      </w:pPr>
      <w:r>
        <w:rPr>
          <w:rFonts w:ascii="Arial" w:cs="Arial" w:eastAsia="Arial" w:hAnsi="Arial"/>
          <w:b/>
          <w:bCs/>
          <w:color w:val="2C3E50"/>
          <w:sz w:val="26"/>
          <w:szCs w:val="26"/>
        </w:rPr>
        <w:t xml:space="preserve">6.1 Manual Verification</w:t>
      </w:r>
    </w:p>
    <w:p>
      <w:pPr>
        <w:spacing w:after="80" w:before="60"/>
      </w:pPr>
      <w:r>
        <w:rPr>
          <w:rFonts w:ascii="Arial" w:cs="Arial" w:eastAsia="Arial" w:hAnsi="Arial"/>
          <w:sz w:val="22"/>
          <w:szCs w:val="22"/>
        </w:rPr>
        <w:t xml:space="preserve">The SMT indicator can occasionally glitch or produce an unclear signal — particularly around fast-moving or choppy price action. If a signal from the indicator looks ambiguous, it is recommended to manually verify the divergence by directly comparing both charts side by side before committing to the trade.</w:t>
      </w:r>
    </w:p>
    <w:p>
      <w:pPr>
        <w:spacing w:before="120"/>
      </w:pPr>
      <w:r>
        <w:t xml:space="preserve"/>
      </w:r>
    </w:p>
    <w:p>
      <w:pPr>
        <w:pStyle w:val="Heading1"/>
        <w:pBdr>
          <w:bottom w:val="single" w:color="1F6FEB" w:sz="6" w:space="1"/>
        </w:pBdr>
        <w:spacing w:after="160" w:before="320"/>
      </w:pPr>
      <w:r>
        <w:rPr>
          <w:rFonts w:ascii="Arial" w:cs="Arial" w:eastAsia="Arial" w:hAnsi="Arial"/>
          <w:b/>
          <w:bCs/>
          <w:color w:val="1F6FEB"/>
          <w:sz w:val="32"/>
          <w:szCs w:val="32"/>
        </w:rPr>
        <w:t xml:space="preserve">7. Pre-Trade Checklist</w:t>
      </w:r>
    </w:p>
    <w:p>
      <w:pPr>
        <w:pStyle w:val="Heading2"/>
        <w:spacing w:after="120" w:before="240"/>
      </w:pPr>
      <w:r>
        <w:rPr>
          <w:rFonts w:ascii="Arial" w:cs="Arial" w:eastAsia="Arial" w:hAnsi="Arial"/>
          <w:b/>
          <w:bCs/>
          <w:color w:val="2C3E50"/>
          <w:sz w:val="26"/>
          <w:szCs w:val="26"/>
        </w:rPr>
        <w:t xml:space="preserve">Bearish (Short) Setup</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00"/>
        <w:gridCol w:w="8760"/>
      </w:tblGrid>
      <w:tr>
        <w:tc>
          <w:tcPr>
            <w:tcW w:type="dxa" w:w="600"/>
            <w:tcBorders>
              <w:top w:val="single" w:color="CCCCCC" w:sz="1"/>
              <w:left w:val="single" w:color="CCCCCC" w:sz="1"/>
              <w:bottom w:val="single" w:color="CCCCCC" w:sz="1"/>
              <w:right w:val="single" w:color="CCCCCC" w:sz="1"/>
            </w:tcBorders>
            <w:shd w:fill="C0392B" w:val="clear"/>
            <w:tcMar>
              <w:top w:type="dxa" w:w="80"/>
              <w:left w:type="dxa" w:w="120"/>
              <w:bottom w:type="dxa" w:w="80"/>
              <w:right w:type="dxa" w:w="120"/>
            </w:tcMar>
          </w:tcPr>
          <w:p>
            <w:pPr>
              <w:jc w:val="center"/>
            </w:pPr>
            <w:r>
              <w:rPr>
                <w:rFonts w:ascii="Arial" w:cs="Arial" w:eastAsia="Arial" w:hAnsi="Arial"/>
                <w:b/>
                <w:bCs/>
                <w:color w:val="FFFFFF"/>
                <w:sz w:val="22"/>
                <w:szCs w:val="22"/>
              </w:rPr>
              <w:t xml:space="preserve">✓</w:t>
            </w:r>
          </w:p>
        </w:tc>
        <w:tc>
          <w:tcPr>
            <w:tcW w:type="dxa" w:w="8760"/>
            <w:tcBorders>
              <w:top w:val="single" w:color="CCCCCC" w:sz="1"/>
              <w:left w:val="single" w:color="CCCCCC" w:sz="1"/>
              <w:bottom w:val="single" w:color="CCCCCC" w:sz="1"/>
              <w:right w:val="single" w:color="CCCCCC" w:sz="1"/>
            </w:tcBorders>
            <w:shd w:fill="C0392B" w:val="clear"/>
            <w:tcMar>
              <w:top w:type="dxa" w:w="80"/>
              <w:left w:type="dxa" w:w="160"/>
              <w:bottom w:type="dxa" w:w="80"/>
              <w:right w:type="dxa" w:w="120"/>
            </w:tcMar>
          </w:tcPr>
          <w:p>
            <w:r>
              <w:rPr>
                <w:rFonts w:ascii="Arial" w:cs="Arial" w:eastAsia="Arial" w:hAnsi="Arial"/>
                <w:b/>
                <w:bCs/>
                <w:color w:val="FFFFFF"/>
                <w:sz w:val="21"/>
                <w:szCs w:val="21"/>
              </w:rPr>
              <w:t xml:space="preserve">Checklist Item</w:t>
            </w:r>
          </w:p>
        </w:tc>
      </w:tr>
      <w:tr>
        <w:tc>
          <w:tcPr>
            <w:tcW w:type="dxa" w:w="600"/>
            <w:tcBorders>
              <w:top w:val="single" w:color="CCCCCC" w:sz="1"/>
              <w:left w:val="single" w:color="CCCCCC" w:sz="1"/>
              <w:bottom w:val="single" w:color="CCCCCC" w:sz="1"/>
              <w:right w:val="single" w:color="CCCCCC" w:sz="1"/>
            </w:tcBorders>
            <w:shd w:fill="F8F9FA" w:val="clear"/>
            <w:tcMar>
              <w:top w:type="dxa" w:w="80"/>
              <w:left w:type="dxa" w:w="120"/>
              <w:bottom w:type="dxa" w:w="80"/>
              <w:right w:type="dxa" w:w="120"/>
            </w:tcMar>
          </w:tcPr>
          <w:p>
            <w:pPr>
              <w:jc w:val="center"/>
            </w:pPr>
            <w:r>
              <w:rPr>
                <w:rFonts w:ascii="Arial" w:cs="Arial" w:eastAsia="Arial" w:hAnsi="Arial"/>
                <w:sz w:val="24"/>
                <w:szCs w:val="24"/>
              </w:rPr>
              <w:t xml:space="preserve">☐</w:t>
            </w:r>
          </w:p>
        </w:tc>
        <w:tc>
          <w:tcPr>
            <w:tcW w:type="dxa" w:w="876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20"/>
            </w:tcMar>
          </w:tcPr>
          <w:p>
            <w:r>
              <w:rPr>
                <w:rFonts w:ascii="Arial" w:cs="Arial" w:eastAsia="Arial" w:hAnsi="Arial"/>
                <w:sz w:val="21"/>
                <w:szCs w:val="21"/>
              </w:rPr>
              <w:t xml:space="preserve">I am on the 5-minute chart for both BTC and ETH, from the same exchange</w:t>
            </w:r>
          </w:p>
        </w:tc>
      </w:tr>
      <w:tr>
        <w:tc>
          <w:tcPr>
            <w:tcW w:type="dxa" w:w="600"/>
            <w:tcBorders>
              <w:top w:val="single" w:color="CCCCCC" w:sz="1"/>
              <w:left w:val="single" w:color="CCCCCC" w:sz="1"/>
              <w:bottom w:val="single" w:color="CCCCCC" w:sz="1"/>
              <w:right w:val="single" w:color="CCCCCC" w:sz="1"/>
            </w:tcBorders>
            <w:shd w:fill="F8F9FA" w:val="clear"/>
            <w:tcMar>
              <w:top w:type="dxa" w:w="80"/>
              <w:left w:type="dxa" w:w="120"/>
              <w:bottom w:type="dxa" w:w="80"/>
              <w:right w:type="dxa" w:w="120"/>
            </w:tcMar>
          </w:tcPr>
          <w:p>
            <w:pPr>
              <w:jc w:val="center"/>
            </w:pPr>
            <w:r>
              <w:rPr>
                <w:rFonts w:ascii="Arial" w:cs="Arial" w:eastAsia="Arial" w:hAnsi="Arial"/>
                <w:sz w:val="24"/>
                <w:szCs w:val="24"/>
              </w:rPr>
              <w:t xml:space="preserve">☐</w:t>
            </w:r>
          </w:p>
        </w:tc>
        <w:tc>
          <w:tcPr>
            <w:tcW w:type="dxa" w:w="876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20"/>
            </w:tcMar>
          </w:tcPr>
          <w:p>
            <w:r>
              <w:rPr>
                <w:rFonts w:ascii="Arial" w:cs="Arial" w:eastAsia="Arial" w:hAnsi="Arial"/>
                <w:sz w:val="21"/>
                <w:szCs w:val="21"/>
              </w:rPr>
              <w:t xml:space="preserve">The SMT indicator (or manual comparison) shows one asset making a Higher High</w:t>
            </w:r>
          </w:p>
        </w:tc>
      </w:tr>
      <w:tr>
        <w:tc>
          <w:tcPr>
            <w:tcW w:type="dxa" w:w="600"/>
            <w:tcBorders>
              <w:top w:val="single" w:color="CCCCCC" w:sz="1"/>
              <w:left w:val="single" w:color="CCCCCC" w:sz="1"/>
              <w:bottom w:val="single" w:color="CCCCCC" w:sz="1"/>
              <w:right w:val="single" w:color="CCCCCC" w:sz="1"/>
            </w:tcBorders>
            <w:shd w:fill="F8F9FA" w:val="clear"/>
            <w:tcMar>
              <w:top w:type="dxa" w:w="80"/>
              <w:left w:type="dxa" w:w="120"/>
              <w:bottom w:type="dxa" w:w="80"/>
              <w:right w:type="dxa" w:w="120"/>
            </w:tcMar>
          </w:tcPr>
          <w:p>
            <w:pPr>
              <w:jc w:val="center"/>
            </w:pPr>
            <w:r>
              <w:rPr>
                <w:rFonts w:ascii="Arial" w:cs="Arial" w:eastAsia="Arial" w:hAnsi="Arial"/>
                <w:sz w:val="24"/>
                <w:szCs w:val="24"/>
              </w:rPr>
              <w:t xml:space="preserve">☐</w:t>
            </w:r>
          </w:p>
        </w:tc>
        <w:tc>
          <w:tcPr>
            <w:tcW w:type="dxa" w:w="876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20"/>
            </w:tcMar>
          </w:tcPr>
          <w:p>
            <w:r>
              <w:rPr>
                <w:rFonts w:ascii="Arial" w:cs="Arial" w:eastAsia="Arial" w:hAnsi="Arial"/>
                <w:sz w:val="21"/>
                <w:szCs w:val="21"/>
              </w:rPr>
              <w:t xml:space="preserve">The correlated asset has failed to make a Higher High — it formed a Lower High instead</w:t>
            </w:r>
          </w:p>
        </w:tc>
      </w:tr>
      <w:tr>
        <w:tc>
          <w:tcPr>
            <w:tcW w:type="dxa" w:w="600"/>
            <w:tcBorders>
              <w:top w:val="single" w:color="CCCCCC" w:sz="1"/>
              <w:left w:val="single" w:color="CCCCCC" w:sz="1"/>
              <w:bottom w:val="single" w:color="CCCCCC" w:sz="1"/>
              <w:right w:val="single" w:color="CCCCCC" w:sz="1"/>
            </w:tcBorders>
            <w:shd w:fill="F8F9FA" w:val="clear"/>
            <w:tcMar>
              <w:top w:type="dxa" w:w="80"/>
              <w:left w:type="dxa" w:w="120"/>
              <w:bottom w:type="dxa" w:w="80"/>
              <w:right w:type="dxa" w:w="120"/>
            </w:tcMar>
          </w:tcPr>
          <w:p>
            <w:pPr>
              <w:jc w:val="center"/>
            </w:pPr>
            <w:r>
              <w:rPr>
                <w:rFonts w:ascii="Arial" w:cs="Arial" w:eastAsia="Arial" w:hAnsi="Arial"/>
                <w:sz w:val="24"/>
                <w:szCs w:val="24"/>
              </w:rPr>
              <w:t xml:space="preserve">☐</w:t>
            </w:r>
          </w:p>
        </w:tc>
        <w:tc>
          <w:tcPr>
            <w:tcW w:type="dxa" w:w="876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20"/>
            </w:tcMar>
          </w:tcPr>
          <w:p>
            <w:r>
              <w:rPr>
                <w:rFonts w:ascii="Arial" w:cs="Arial" w:eastAsia="Arial" w:hAnsi="Arial"/>
                <w:sz w:val="21"/>
                <w:szCs w:val="21"/>
              </w:rPr>
              <w:t xml:space="preserve">I have waited TWO full candles after the SMT signal appeared before considering entry</w:t>
            </w:r>
          </w:p>
        </w:tc>
      </w:tr>
      <w:tr>
        <w:tc>
          <w:tcPr>
            <w:tcW w:type="dxa" w:w="600"/>
            <w:tcBorders>
              <w:top w:val="single" w:color="CCCCCC" w:sz="1"/>
              <w:left w:val="single" w:color="CCCCCC" w:sz="1"/>
              <w:bottom w:val="single" w:color="CCCCCC" w:sz="1"/>
              <w:right w:val="single" w:color="CCCCCC" w:sz="1"/>
            </w:tcBorders>
            <w:shd w:fill="F8F9FA" w:val="clear"/>
            <w:tcMar>
              <w:top w:type="dxa" w:w="80"/>
              <w:left w:type="dxa" w:w="120"/>
              <w:bottom w:type="dxa" w:w="80"/>
              <w:right w:type="dxa" w:w="120"/>
            </w:tcMar>
          </w:tcPr>
          <w:p>
            <w:pPr>
              <w:jc w:val="center"/>
            </w:pPr>
            <w:r>
              <w:rPr>
                <w:rFonts w:ascii="Arial" w:cs="Arial" w:eastAsia="Arial" w:hAnsi="Arial"/>
                <w:sz w:val="24"/>
                <w:szCs w:val="24"/>
              </w:rPr>
              <w:t xml:space="preserve">☐</w:t>
            </w:r>
          </w:p>
        </w:tc>
        <w:tc>
          <w:tcPr>
            <w:tcW w:type="dxa" w:w="876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20"/>
            </w:tcMar>
          </w:tcPr>
          <w:p>
            <w:r>
              <w:rPr>
                <w:rFonts w:ascii="Arial" w:cs="Arial" w:eastAsia="Arial" w:hAnsi="Arial"/>
                <w:sz w:val="21"/>
                <w:szCs w:val="21"/>
              </w:rPr>
              <w:t xml:space="preserve">If the signal looked unclear on the indicator, I manually verified it by comparing both charts directly</w:t>
            </w:r>
          </w:p>
        </w:tc>
      </w:tr>
      <w:tr>
        <w:tc>
          <w:tcPr>
            <w:tcW w:type="dxa" w:w="600"/>
            <w:tcBorders>
              <w:top w:val="single" w:color="CCCCCC" w:sz="1"/>
              <w:left w:val="single" w:color="CCCCCC" w:sz="1"/>
              <w:bottom w:val="single" w:color="CCCCCC" w:sz="1"/>
              <w:right w:val="single" w:color="CCCCCC" w:sz="1"/>
            </w:tcBorders>
            <w:shd w:fill="F8F9FA" w:val="clear"/>
            <w:tcMar>
              <w:top w:type="dxa" w:w="80"/>
              <w:left w:type="dxa" w:w="120"/>
              <w:bottom w:type="dxa" w:w="80"/>
              <w:right w:type="dxa" w:w="120"/>
            </w:tcMar>
          </w:tcPr>
          <w:p>
            <w:pPr>
              <w:jc w:val="center"/>
            </w:pPr>
            <w:r>
              <w:rPr>
                <w:rFonts w:ascii="Arial" w:cs="Arial" w:eastAsia="Arial" w:hAnsi="Arial"/>
                <w:sz w:val="24"/>
                <w:szCs w:val="24"/>
              </w:rPr>
              <w:t xml:space="preserve">☐</w:t>
            </w:r>
          </w:p>
        </w:tc>
        <w:tc>
          <w:tcPr>
            <w:tcW w:type="dxa" w:w="876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20"/>
            </w:tcMar>
          </w:tcPr>
          <w:p>
            <w:r>
              <w:rPr>
                <w:rFonts w:ascii="Arial" w:cs="Arial" w:eastAsia="Arial" w:hAnsi="Arial"/>
                <w:sz w:val="21"/>
                <w:szCs w:val="21"/>
              </w:rPr>
              <w:t xml:space="preserve">Stop loss is placed slightly above the recent high</w:t>
            </w:r>
          </w:p>
        </w:tc>
      </w:tr>
      <w:tr>
        <w:tc>
          <w:tcPr>
            <w:tcW w:type="dxa" w:w="600"/>
            <w:tcBorders>
              <w:top w:val="single" w:color="CCCCCC" w:sz="1"/>
              <w:left w:val="single" w:color="CCCCCC" w:sz="1"/>
              <w:bottom w:val="single" w:color="CCCCCC" w:sz="1"/>
              <w:right w:val="single" w:color="CCCCCC" w:sz="1"/>
            </w:tcBorders>
            <w:shd w:fill="F8F9FA" w:val="clear"/>
            <w:tcMar>
              <w:top w:type="dxa" w:w="80"/>
              <w:left w:type="dxa" w:w="120"/>
              <w:bottom w:type="dxa" w:w="80"/>
              <w:right w:type="dxa" w:w="120"/>
            </w:tcMar>
          </w:tcPr>
          <w:p>
            <w:pPr>
              <w:jc w:val="center"/>
            </w:pPr>
            <w:r>
              <w:rPr>
                <w:rFonts w:ascii="Arial" w:cs="Arial" w:eastAsia="Arial" w:hAnsi="Arial"/>
                <w:sz w:val="24"/>
                <w:szCs w:val="24"/>
              </w:rPr>
              <w:t xml:space="preserve">☐</w:t>
            </w:r>
          </w:p>
        </w:tc>
        <w:tc>
          <w:tcPr>
            <w:tcW w:type="dxa" w:w="876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20"/>
            </w:tcMar>
          </w:tcPr>
          <w:p>
            <w:r>
              <w:rPr>
                <w:rFonts w:ascii="Arial" w:cs="Arial" w:eastAsia="Arial" w:hAnsi="Arial"/>
                <w:sz w:val="21"/>
                <w:szCs w:val="21"/>
              </w:rPr>
              <w:t xml:space="preserve">Target is set at 1:2 risk-to-reward, or alternatively at the previous swing low</w:t>
            </w:r>
          </w:p>
        </w:tc>
      </w:tr>
    </w:tbl>
    <w:p>
      <w:pPr>
        <w:spacing w:before="60"/>
      </w:pPr>
      <w:r>
        <w:t xml:space="preserve"/>
      </w:r>
    </w:p>
    <w:p>
      <w:pPr>
        <w:pStyle w:val="Heading2"/>
        <w:spacing w:after="120" w:before="240"/>
      </w:pPr>
      <w:r>
        <w:rPr>
          <w:rFonts w:ascii="Arial" w:cs="Arial" w:eastAsia="Arial" w:hAnsi="Arial"/>
          <w:b/>
          <w:bCs/>
          <w:color w:val="2C3E50"/>
          <w:sz w:val="26"/>
          <w:szCs w:val="26"/>
        </w:rPr>
        <w:t xml:space="preserve">Bullish (Long) Setup</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00"/>
        <w:gridCol w:w="8760"/>
      </w:tblGrid>
      <w:tr>
        <w:tc>
          <w:tcPr>
            <w:tcW w:type="dxa" w:w="600"/>
            <w:tcBorders>
              <w:top w:val="single" w:color="CCCCCC" w:sz="1"/>
              <w:left w:val="single" w:color="CCCCCC" w:sz="1"/>
              <w:bottom w:val="single" w:color="CCCCCC" w:sz="1"/>
              <w:right w:val="single" w:color="CCCCCC" w:sz="1"/>
            </w:tcBorders>
            <w:shd w:fill="1A7A45" w:val="clear"/>
            <w:tcMar>
              <w:top w:type="dxa" w:w="80"/>
              <w:left w:type="dxa" w:w="120"/>
              <w:bottom w:type="dxa" w:w="80"/>
              <w:right w:type="dxa" w:w="120"/>
            </w:tcMar>
          </w:tcPr>
          <w:p>
            <w:pPr>
              <w:jc w:val="center"/>
            </w:pPr>
            <w:r>
              <w:rPr>
                <w:rFonts w:ascii="Arial" w:cs="Arial" w:eastAsia="Arial" w:hAnsi="Arial"/>
                <w:b/>
                <w:bCs/>
                <w:color w:val="FFFFFF"/>
                <w:sz w:val="22"/>
                <w:szCs w:val="22"/>
              </w:rPr>
              <w:t xml:space="preserve">✓</w:t>
            </w:r>
          </w:p>
        </w:tc>
        <w:tc>
          <w:tcPr>
            <w:tcW w:type="dxa" w:w="8760"/>
            <w:tcBorders>
              <w:top w:val="single" w:color="CCCCCC" w:sz="1"/>
              <w:left w:val="single" w:color="CCCCCC" w:sz="1"/>
              <w:bottom w:val="single" w:color="CCCCCC" w:sz="1"/>
              <w:right w:val="single" w:color="CCCCCC" w:sz="1"/>
            </w:tcBorders>
            <w:shd w:fill="1A7A45" w:val="clear"/>
            <w:tcMar>
              <w:top w:type="dxa" w:w="80"/>
              <w:left w:type="dxa" w:w="160"/>
              <w:bottom w:type="dxa" w:w="80"/>
              <w:right w:type="dxa" w:w="120"/>
            </w:tcMar>
          </w:tcPr>
          <w:p>
            <w:r>
              <w:rPr>
                <w:rFonts w:ascii="Arial" w:cs="Arial" w:eastAsia="Arial" w:hAnsi="Arial"/>
                <w:b/>
                <w:bCs/>
                <w:color w:val="FFFFFF"/>
                <w:sz w:val="21"/>
                <w:szCs w:val="21"/>
              </w:rPr>
              <w:t xml:space="preserve">Checklist Item</w:t>
            </w:r>
          </w:p>
        </w:tc>
      </w:tr>
      <w:tr>
        <w:tc>
          <w:tcPr>
            <w:tcW w:type="dxa" w:w="600"/>
            <w:tcBorders>
              <w:top w:val="single" w:color="CCCCCC" w:sz="1"/>
              <w:left w:val="single" w:color="CCCCCC" w:sz="1"/>
              <w:bottom w:val="single" w:color="CCCCCC" w:sz="1"/>
              <w:right w:val="single" w:color="CCCCCC" w:sz="1"/>
            </w:tcBorders>
            <w:shd w:fill="F8F9FA" w:val="clear"/>
            <w:tcMar>
              <w:top w:type="dxa" w:w="80"/>
              <w:left w:type="dxa" w:w="120"/>
              <w:bottom w:type="dxa" w:w="80"/>
              <w:right w:type="dxa" w:w="120"/>
            </w:tcMar>
          </w:tcPr>
          <w:p>
            <w:pPr>
              <w:jc w:val="center"/>
            </w:pPr>
            <w:r>
              <w:rPr>
                <w:rFonts w:ascii="Arial" w:cs="Arial" w:eastAsia="Arial" w:hAnsi="Arial"/>
                <w:sz w:val="24"/>
                <w:szCs w:val="24"/>
              </w:rPr>
              <w:t xml:space="preserve">☐</w:t>
            </w:r>
          </w:p>
        </w:tc>
        <w:tc>
          <w:tcPr>
            <w:tcW w:type="dxa" w:w="876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20"/>
            </w:tcMar>
          </w:tcPr>
          <w:p>
            <w:r>
              <w:rPr>
                <w:rFonts w:ascii="Arial" w:cs="Arial" w:eastAsia="Arial" w:hAnsi="Arial"/>
                <w:sz w:val="21"/>
                <w:szCs w:val="21"/>
              </w:rPr>
              <w:t xml:space="preserve">I am on the 5-minute chart for both BTC and ETH, from the same exchange</w:t>
            </w:r>
          </w:p>
        </w:tc>
      </w:tr>
      <w:tr>
        <w:tc>
          <w:tcPr>
            <w:tcW w:type="dxa" w:w="600"/>
            <w:tcBorders>
              <w:top w:val="single" w:color="CCCCCC" w:sz="1"/>
              <w:left w:val="single" w:color="CCCCCC" w:sz="1"/>
              <w:bottom w:val="single" w:color="CCCCCC" w:sz="1"/>
              <w:right w:val="single" w:color="CCCCCC" w:sz="1"/>
            </w:tcBorders>
            <w:shd w:fill="F8F9FA" w:val="clear"/>
            <w:tcMar>
              <w:top w:type="dxa" w:w="80"/>
              <w:left w:type="dxa" w:w="120"/>
              <w:bottom w:type="dxa" w:w="80"/>
              <w:right w:type="dxa" w:w="120"/>
            </w:tcMar>
          </w:tcPr>
          <w:p>
            <w:pPr>
              <w:jc w:val="center"/>
            </w:pPr>
            <w:r>
              <w:rPr>
                <w:rFonts w:ascii="Arial" w:cs="Arial" w:eastAsia="Arial" w:hAnsi="Arial"/>
                <w:sz w:val="24"/>
                <w:szCs w:val="24"/>
              </w:rPr>
              <w:t xml:space="preserve">☐</w:t>
            </w:r>
          </w:p>
        </w:tc>
        <w:tc>
          <w:tcPr>
            <w:tcW w:type="dxa" w:w="876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20"/>
            </w:tcMar>
          </w:tcPr>
          <w:p>
            <w:r>
              <w:rPr>
                <w:rFonts w:ascii="Arial" w:cs="Arial" w:eastAsia="Arial" w:hAnsi="Arial"/>
                <w:sz w:val="21"/>
                <w:szCs w:val="21"/>
              </w:rPr>
              <w:t xml:space="preserve">The SMT indicator (or manual comparison) shows one asset making a Lower Low</w:t>
            </w:r>
          </w:p>
        </w:tc>
      </w:tr>
      <w:tr>
        <w:tc>
          <w:tcPr>
            <w:tcW w:type="dxa" w:w="600"/>
            <w:tcBorders>
              <w:top w:val="single" w:color="CCCCCC" w:sz="1"/>
              <w:left w:val="single" w:color="CCCCCC" w:sz="1"/>
              <w:bottom w:val="single" w:color="CCCCCC" w:sz="1"/>
              <w:right w:val="single" w:color="CCCCCC" w:sz="1"/>
            </w:tcBorders>
            <w:shd w:fill="F8F9FA" w:val="clear"/>
            <w:tcMar>
              <w:top w:type="dxa" w:w="80"/>
              <w:left w:type="dxa" w:w="120"/>
              <w:bottom w:type="dxa" w:w="80"/>
              <w:right w:type="dxa" w:w="120"/>
            </w:tcMar>
          </w:tcPr>
          <w:p>
            <w:pPr>
              <w:jc w:val="center"/>
            </w:pPr>
            <w:r>
              <w:rPr>
                <w:rFonts w:ascii="Arial" w:cs="Arial" w:eastAsia="Arial" w:hAnsi="Arial"/>
                <w:sz w:val="24"/>
                <w:szCs w:val="24"/>
              </w:rPr>
              <w:t xml:space="preserve">☐</w:t>
            </w:r>
          </w:p>
        </w:tc>
        <w:tc>
          <w:tcPr>
            <w:tcW w:type="dxa" w:w="876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20"/>
            </w:tcMar>
          </w:tcPr>
          <w:p>
            <w:r>
              <w:rPr>
                <w:rFonts w:ascii="Arial" w:cs="Arial" w:eastAsia="Arial" w:hAnsi="Arial"/>
                <w:sz w:val="21"/>
                <w:szCs w:val="21"/>
              </w:rPr>
              <w:t xml:space="preserve">The correlated asset has failed to make a Lower Low — it formed a Higher Low instead</w:t>
            </w:r>
          </w:p>
        </w:tc>
      </w:tr>
      <w:tr>
        <w:tc>
          <w:tcPr>
            <w:tcW w:type="dxa" w:w="600"/>
            <w:tcBorders>
              <w:top w:val="single" w:color="CCCCCC" w:sz="1"/>
              <w:left w:val="single" w:color="CCCCCC" w:sz="1"/>
              <w:bottom w:val="single" w:color="CCCCCC" w:sz="1"/>
              <w:right w:val="single" w:color="CCCCCC" w:sz="1"/>
            </w:tcBorders>
            <w:shd w:fill="F8F9FA" w:val="clear"/>
            <w:tcMar>
              <w:top w:type="dxa" w:w="80"/>
              <w:left w:type="dxa" w:w="120"/>
              <w:bottom w:type="dxa" w:w="80"/>
              <w:right w:type="dxa" w:w="120"/>
            </w:tcMar>
          </w:tcPr>
          <w:p>
            <w:pPr>
              <w:jc w:val="center"/>
            </w:pPr>
            <w:r>
              <w:rPr>
                <w:rFonts w:ascii="Arial" w:cs="Arial" w:eastAsia="Arial" w:hAnsi="Arial"/>
                <w:sz w:val="24"/>
                <w:szCs w:val="24"/>
              </w:rPr>
              <w:t xml:space="preserve">☐</w:t>
            </w:r>
          </w:p>
        </w:tc>
        <w:tc>
          <w:tcPr>
            <w:tcW w:type="dxa" w:w="876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20"/>
            </w:tcMar>
          </w:tcPr>
          <w:p>
            <w:r>
              <w:rPr>
                <w:rFonts w:ascii="Arial" w:cs="Arial" w:eastAsia="Arial" w:hAnsi="Arial"/>
                <w:sz w:val="21"/>
                <w:szCs w:val="21"/>
              </w:rPr>
              <w:t xml:space="preserve">I have waited TWO full candles after the SMT signal appeared before considering entry</w:t>
            </w:r>
          </w:p>
        </w:tc>
      </w:tr>
      <w:tr>
        <w:tc>
          <w:tcPr>
            <w:tcW w:type="dxa" w:w="600"/>
            <w:tcBorders>
              <w:top w:val="single" w:color="CCCCCC" w:sz="1"/>
              <w:left w:val="single" w:color="CCCCCC" w:sz="1"/>
              <w:bottom w:val="single" w:color="CCCCCC" w:sz="1"/>
              <w:right w:val="single" w:color="CCCCCC" w:sz="1"/>
            </w:tcBorders>
            <w:shd w:fill="F8F9FA" w:val="clear"/>
            <w:tcMar>
              <w:top w:type="dxa" w:w="80"/>
              <w:left w:type="dxa" w:w="120"/>
              <w:bottom w:type="dxa" w:w="80"/>
              <w:right w:type="dxa" w:w="120"/>
            </w:tcMar>
          </w:tcPr>
          <w:p>
            <w:pPr>
              <w:jc w:val="center"/>
            </w:pPr>
            <w:r>
              <w:rPr>
                <w:rFonts w:ascii="Arial" w:cs="Arial" w:eastAsia="Arial" w:hAnsi="Arial"/>
                <w:sz w:val="24"/>
                <w:szCs w:val="24"/>
              </w:rPr>
              <w:t xml:space="preserve">☐</w:t>
            </w:r>
          </w:p>
        </w:tc>
        <w:tc>
          <w:tcPr>
            <w:tcW w:type="dxa" w:w="876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20"/>
            </w:tcMar>
          </w:tcPr>
          <w:p>
            <w:r>
              <w:rPr>
                <w:rFonts w:ascii="Arial" w:cs="Arial" w:eastAsia="Arial" w:hAnsi="Arial"/>
                <w:sz w:val="21"/>
                <w:szCs w:val="21"/>
              </w:rPr>
              <w:t xml:space="preserve">If the signal looked unclear on the indicator, I manually verified it by comparing both charts directly</w:t>
            </w:r>
          </w:p>
        </w:tc>
      </w:tr>
      <w:tr>
        <w:tc>
          <w:tcPr>
            <w:tcW w:type="dxa" w:w="600"/>
            <w:tcBorders>
              <w:top w:val="single" w:color="CCCCCC" w:sz="1"/>
              <w:left w:val="single" w:color="CCCCCC" w:sz="1"/>
              <w:bottom w:val="single" w:color="CCCCCC" w:sz="1"/>
              <w:right w:val="single" w:color="CCCCCC" w:sz="1"/>
            </w:tcBorders>
            <w:shd w:fill="F8F9FA" w:val="clear"/>
            <w:tcMar>
              <w:top w:type="dxa" w:w="80"/>
              <w:left w:type="dxa" w:w="120"/>
              <w:bottom w:type="dxa" w:w="80"/>
              <w:right w:type="dxa" w:w="120"/>
            </w:tcMar>
          </w:tcPr>
          <w:p>
            <w:pPr>
              <w:jc w:val="center"/>
            </w:pPr>
            <w:r>
              <w:rPr>
                <w:rFonts w:ascii="Arial" w:cs="Arial" w:eastAsia="Arial" w:hAnsi="Arial"/>
                <w:sz w:val="24"/>
                <w:szCs w:val="24"/>
              </w:rPr>
              <w:t xml:space="preserve">☐</w:t>
            </w:r>
          </w:p>
        </w:tc>
        <w:tc>
          <w:tcPr>
            <w:tcW w:type="dxa" w:w="876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20"/>
            </w:tcMar>
          </w:tcPr>
          <w:p>
            <w:r>
              <w:rPr>
                <w:rFonts w:ascii="Arial" w:cs="Arial" w:eastAsia="Arial" w:hAnsi="Arial"/>
                <w:sz w:val="21"/>
                <w:szCs w:val="21"/>
              </w:rPr>
              <w:t xml:space="preserve">Stop loss is placed below the recent low</w:t>
            </w:r>
          </w:p>
        </w:tc>
      </w:tr>
      <w:tr>
        <w:tc>
          <w:tcPr>
            <w:tcW w:type="dxa" w:w="600"/>
            <w:tcBorders>
              <w:top w:val="single" w:color="CCCCCC" w:sz="1"/>
              <w:left w:val="single" w:color="CCCCCC" w:sz="1"/>
              <w:bottom w:val="single" w:color="CCCCCC" w:sz="1"/>
              <w:right w:val="single" w:color="CCCCCC" w:sz="1"/>
            </w:tcBorders>
            <w:shd w:fill="F8F9FA" w:val="clear"/>
            <w:tcMar>
              <w:top w:type="dxa" w:w="80"/>
              <w:left w:type="dxa" w:w="120"/>
              <w:bottom w:type="dxa" w:w="80"/>
              <w:right w:type="dxa" w:w="120"/>
            </w:tcMar>
          </w:tcPr>
          <w:p>
            <w:pPr>
              <w:jc w:val="center"/>
            </w:pPr>
            <w:r>
              <w:rPr>
                <w:rFonts w:ascii="Arial" w:cs="Arial" w:eastAsia="Arial" w:hAnsi="Arial"/>
                <w:sz w:val="24"/>
                <w:szCs w:val="24"/>
              </w:rPr>
              <w:t xml:space="preserve">☐</w:t>
            </w:r>
          </w:p>
        </w:tc>
        <w:tc>
          <w:tcPr>
            <w:tcW w:type="dxa" w:w="876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20"/>
            </w:tcMar>
          </w:tcPr>
          <w:p>
            <w:r>
              <w:rPr>
                <w:rFonts w:ascii="Arial" w:cs="Arial" w:eastAsia="Arial" w:hAnsi="Arial"/>
                <w:sz w:val="21"/>
                <w:szCs w:val="21"/>
              </w:rPr>
              <w:t xml:space="preserve">Target is set at 1:2 risk-to-reward</w:t>
            </w:r>
          </w:p>
        </w:tc>
      </w:tr>
    </w:tbl>
    <w:p>
      <w:pPr>
        <w:spacing w:before="120"/>
      </w:pPr>
      <w:r>
        <w:t xml:space="preserve"/>
      </w:r>
    </w:p>
    <w:p>
      <w:pPr>
        <w:pStyle w:val="Heading1"/>
        <w:pBdr>
          <w:bottom w:val="single" w:color="1F6FEB" w:sz="6" w:space="1"/>
        </w:pBdr>
        <w:spacing w:after="160" w:before="320"/>
      </w:pPr>
      <w:r>
        <w:rPr>
          <w:rFonts w:ascii="Arial" w:cs="Arial" w:eastAsia="Arial" w:hAnsi="Arial"/>
          <w:b/>
          <w:bCs/>
          <w:color w:val="1F6FEB"/>
          <w:sz w:val="32"/>
          <w:szCs w:val="32"/>
        </w:rPr>
        <w:t xml:space="preserve">8. Key Terms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1E3A5F" w:val="clear"/>
            <w:tcMar>
              <w:top w:type="dxa" w:w="80"/>
              <w:left w:type="dxa" w:w="160"/>
              <w:bottom w:type="dxa" w:w="80"/>
              <w:right w:type="dxa" w:w="120"/>
            </w:tcMar>
          </w:tcPr>
          <w:p>
            <w:r>
              <w:rPr>
                <w:rFonts w:ascii="Arial" w:cs="Arial" w:eastAsia="Arial" w:hAnsi="Arial"/>
                <w:b/>
                <w:bCs/>
                <w:color w:val="FFFFFF"/>
                <w:sz w:val="21"/>
                <w:szCs w:val="21"/>
              </w:rPr>
              <w:t xml:space="preserve">Term</w:t>
            </w:r>
          </w:p>
        </w:tc>
        <w:tc>
          <w:tcPr>
            <w:tcW w:type="dxa" w:w="6360"/>
            <w:tcBorders>
              <w:top w:val="single" w:color="CCCCCC" w:sz="1"/>
              <w:left w:val="single" w:color="CCCCCC" w:sz="1"/>
              <w:bottom w:val="single" w:color="CCCCCC" w:sz="1"/>
              <w:right w:val="single" w:color="CCCCCC" w:sz="1"/>
            </w:tcBorders>
            <w:shd w:fill="1E3A5F" w:val="clear"/>
            <w:tcMar>
              <w:top w:type="dxa" w:w="80"/>
              <w:left w:type="dxa" w:w="160"/>
              <w:bottom w:type="dxa" w:w="80"/>
              <w:right w:type="dxa" w:w="120"/>
            </w:tcMar>
          </w:tcPr>
          <w:p>
            <w:r>
              <w:rPr>
                <w:rFonts w:ascii="Arial" w:cs="Arial" w:eastAsia="Arial" w:hAnsi="Arial"/>
                <w:b/>
                <w:bCs/>
                <w:color w:val="FFFFFF"/>
                <w:sz w:val="21"/>
                <w:szCs w:val="21"/>
              </w:rPr>
              <w:t xml:space="preserve">Definition</w:t>
            </w:r>
          </w:p>
        </w:tc>
      </w:tr>
      <w:tr>
        <w:tc>
          <w:tcPr>
            <w:tcW w:type="dxa" w:w="3000"/>
            <w:tcBorders>
              <w:top w:val="single" w:color="CCCCCC" w:sz="1"/>
              <w:left w:val="single" w:color="CCCCCC" w:sz="1"/>
              <w:bottom w:val="single" w:color="CCCCCC" w:sz="1"/>
              <w:right w:val="single" w:color="CCCCCC" w:sz="1"/>
            </w:tcBorders>
            <w:shd w:fill="EBF3FF" w:val="clear"/>
            <w:tcMar>
              <w:top w:type="dxa" w:w="80"/>
              <w:left w:type="dxa" w:w="160"/>
              <w:bottom w:type="dxa" w:w="80"/>
              <w:right w:type="dxa" w:w="120"/>
            </w:tcMar>
          </w:tcPr>
          <w:p>
            <w:r>
              <w:rPr>
                <w:rFonts w:ascii="Arial" w:cs="Arial" w:eastAsia="Arial" w:hAnsi="Arial"/>
                <w:b/>
                <w:bCs/>
                <w:color w:val="1F3A6E"/>
                <w:sz w:val="21"/>
                <w:szCs w:val="21"/>
              </w:rPr>
              <w:t xml:space="preserve">SMT (Smart Money Tool) Divergence</w:t>
            </w:r>
          </w:p>
        </w:tc>
        <w:tc>
          <w:tcPr>
            <w:tcW w:type="dxa" w:w="636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20"/>
            </w:tcMar>
          </w:tcPr>
          <w:p>
            <w:r>
              <w:rPr>
                <w:rFonts w:ascii="Arial" w:cs="Arial" w:eastAsia="Arial" w:hAnsi="Arial"/>
                <w:sz w:val="21"/>
                <w:szCs w:val="21"/>
              </w:rPr>
              <w:t xml:space="preserve">A trading concept where a divergence between two correlated assets — one confirming a new high/low, the other failing to — is treated as a signal of weakening momentum.</w:t>
            </w:r>
          </w:p>
        </w:tc>
      </w:tr>
      <w:tr>
        <w:tc>
          <w:tcPr>
            <w:tcW w:type="dxa" w:w="3000"/>
            <w:tcBorders>
              <w:top w:val="single" w:color="CCCCCC" w:sz="1"/>
              <w:left w:val="single" w:color="CCCCCC" w:sz="1"/>
              <w:bottom w:val="single" w:color="CCCCCC" w:sz="1"/>
              <w:right w:val="single" w:color="CCCCCC" w:sz="1"/>
            </w:tcBorders>
            <w:shd w:fill="EBF3FF" w:val="clear"/>
            <w:tcMar>
              <w:top w:type="dxa" w:w="80"/>
              <w:left w:type="dxa" w:w="160"/>
              <w:bottom w:type="dxa" w:w="80"/>
              <w:right w:type="dxa" w:w="120"/>
            </w:tcMar>
          </w:tcPr>
          <w:p>
            <w:r>
              <w:rPr>
                <w:rFonts w:ascii="Arial" w:cs="Arial" w:eastAsia="Arial" w:hAnsi="Arial"/>
                <w:b/>
                <w:bCs/>
                <w:color w:val="1F3A6E"/>
                <w:sz w:val="21"/>
                <w:szCs w:val="21"/>
              </w:rPr>
              <w:t xml:space="preserve">Correlated Assets</w:t>
            </w:r>
          </w:p>
        </w:tc>
        <w:tc>
          <w:tcPr>
            <w:tcW w:type="dxa" w:w="636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20"/>
            </w:tcMar>
          </w:tcPr>
          <w:p>
            <w:r>
              <w:rPr>
                <w:rFonts w:ascii="Arial" w:cs="Arial" w:eastAsia="Arial" w:hAnsi="Arial"/>
                <w:sz w:val="21"/>
                <w:szCs w:val="21"/>
              </w:rPr>
              <w:t xml:space="preserve">Two instruments (such as BTC and ETH) that typically move in the same direction due to shared market drivers and investor behaviour.</w:t>
            </w:r>
          </w:p>
        </w:tc>
      </w:tr>
      <w:tr>
        <w:tc>
          <w:tcPr>
            <w:tcW w:type="dxa" w:w="3000"/>
            <w:tcBorders>
              <w:top w:val="single" w:color="CCCCCC" w:sz="1"/>
              <w:left w:val="single" w:color="CCCCCC" w:sz="1"/>
              <w:bottom w:val="single" w:color="CCCCCC" w:sz="1"/>
              <w:right w:val="single" w:color="CCCCCC" w:sz="1"/>
            </w:tcBorders>
            <w:shd w:fill="EBF3FF" w:val="clear"/>
            <w:tcMar>
              <w:top w:type="dxa" w:w="80"/>
              <w:left w:type="dxa" w:w="160"/>
              <w:bottom w:type="dxa" w:w="80"/>
              <w:right w:type="dxa" w:w="120"/>
            </w:tcMar>
          </w:tcPr>
          <w:p>
            <w:r>
              <w:rPr>
                <w:rFonts w:ascii="Arial" w:cs="Arial" w:eastAsia="Arial" w:hAnsi="Arial"/>
                <w:b/>
                <w:bCs/>
                <w:color w:val="1F3A6E"/>
                <w:sz w:val="21"/>
                <w:szCs w:val="21"/>
              </w:rPr>
              <w:t xml:space="preserve">Bearish Divergence</w:t>
            </w:r>
          </w:p>
        </w:tc>
        <w:tc>
          <w:tcPr>
            <w:tcW w:type="dxa" w:w="636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20"/>
            </w:tcMar>
          </w:tcPr>
          <w:p>
            <w:r>
              <w:rPr>
                <w:rFonts w:ascii="Arial" w:cs="Arial" w:eastAsia="Arial" w:hAnsi="Arial"/>
                <w:sz w:val="21"/>
                <w:szCs w:val="21"/>
              </w:rPr>
              <w:t xml:space="preserve">One asset makes a Higher High while its correlated partner makes a Lower High instead — signalling weakening bullish momentum and a potential short opportunity.</w:t>
            </w:r>
          </w:p>
        </w:tc>
      </w:tr>
      <w:tr>
        <w:tc>
          <w:tcPr>
            <w:tcW w:type="dxa" w:w="3000"/>
            <w:tcBorders>
              <w:top w:val="single" w:color="CCCCCC" w:sz="1"/>
              <w:left w:val="single" w:color="CCCCCC" w:sz="1"/>
              <w:bottom w:val="single" w:color="CCCCCC" w:sz="1"/>
              <w:right w:val="single" w:color="CCCCCC" w:sz="1"/>
            </w:tcBorders>
            <w:shd w:fill="EBF3FF" w:val="clear"/>
            <w:tcMar>
              <w:top w:type="dxa" w:w="80"/>
              <w:left w:type="dxa" w:w="160"/>
              <w:bottom w:type="dxa" w:w="80"/>
              <w:right w:type="dxa" w:w="120"/>
            </w:tcMar>
          </w:tcPr>
          <w:p>
            <w:r>
              <w:rPr>
                <w:rFonts w:ascii="Arial" w:cs="Arial" w:eastAsia="Arial" w:hAnsi="Arial"/>
                <w:b/>
                <w:bCs/>
                <w:color w:val="1F3A6E"/>
                <w:sz w:val="21"/>
                <w:szCs w:val="21"/>
              </w:rPr>
              <w:t xml:space="preserve">Bullish Divergence</w:t>
            </w:r>
          </w:p>
        </w:tc>
        <w:tc>
          <w:tcPr>
            <w:tcW w:type="dxa" w:w="636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20"/>
            </w:tcMar>
          </w:tcPr>
          <w:p>
            <w:r>
              <w:rPr>
                <w:rFonts w:ascii="Arial" w:cs="Arial" w:eastAsia="Arial" w:hAnsi="Arial"/>
                <w:sz w:val="21"/>
                <w:szCs w:val="21"/>
              </w:rPr>
              <w:t xml:space="preserve">One asset makes a Lower Low while its correlated partner makes a Higher Low instead — signalling weakening bearish momentum and a potential long opportunity.</w:t>
            </w:r>
          </w:p>
        </w:tc>
      </w:tr>
      <w:tr>
        <w:tc>
          <w:tcPr>
            <w:tcW w:type="dxa" w:w="3000"/>
            <w:tcBorders>
              <w:top w:val="single" w:color="CCCCCC" w:sz="1"/>
              <w:left w:val="single" w:color="CCCCCC" w:sz="1"/>
              <w:bottom w:val="single" w:color="CCCCCC" w:sz="1"/>
              <w:right w:val="single" w:color="CCCCCC" w:sz="1"/>
            </w:tcBorders>
            <w:shd w:fill="EBF3FF" w:val="clear"/>
            <w:tcMar>
              <w:top w:type="dxa" w:w="80"/>
              <w:left w:type="dxa" w:w="160"/>
              <w:bottom w:type="dxa" w:w="80"/>
              <w:right w:type="dxa" w:w="120"/>
            </w:tcMar>
          </w:tcPr>
          <w:p>
            <w:r>
              <w:rPr>
                <w:rFonts w:ascii="Arial" w:cs="Arial" w:eastAsia="Arial" w:hAnsi="Arial"/>
                <w:b/>
                <w:bCs/>
                <w:color w:val="1F3A6E"/>
                <w:sz w:val="21"/>
                <w:szCs w:val="21"/>
              </w:rPr>
              <w:t xml:space="preserve">Higher High (HH)</w:t>
            </w:r>
          </w:p>
        </w:tc>
        <w:tc>
          <w:tcPr>
            <w:tcW w:type="dxa" w:w="636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20"/>
            </w:tcMar>
          </w:tcPr>
          <w:p>
            <w:r>
              <w:rPr>
                <w:rFonts w:ascii="Arial" w:cs="Arial" w:eastAsia="Arial" w:hAnsi="Arial"/>
                <w:sz w:val="21"/>
                <w:szCs w:val="21"/>
              </w:rPr>
              <w:t xml:space="preserve">A swing high that exceeds the previous swing high — confirms continued upward momentum in the asset making it.</w:t>
            </w:r>
          </w:p>
        </w:tc>
      </w:tr>
      <w:tr>
        <w:tc>
          <w:tcPr>
            <w:tcW w:type="dxa" w:w="3000"/>
            <w:tcBorders>
              <w:top w:val="single" w:color="CCCCCC" w:sz="1"/>
              <w:left w:val="single" w:color="CCCCCC" w:sz="1"/>
              <w:bottom w:val="single" w:color="CCCCCC" w:sz="1"/>
              <w:right w:val="single" w:color="CCCCCC" w:sz="1"/>
            </w:tcBorders>
            <w:shd w:fill="EBF3FF" w:val="clear"/>
            <w:tcMar>
              <w:top w:type="dxa" w:w="80"/>
              <w:left w:type="dxa" w:w="160"/>
              <w:bottom w:type="dxa" w:w="80"/>
              <w:right w:type="dxa" w:w="120"/>
            </w:tcMar>
          </w:tcPr>
          <w:p>
            <w:r>
              <w:rPr>
                <w:rFonts w:ascii="Arial" w:cs="Arial" w:eastAsia="Arial" w:hAnsi="Arial"/>
                <w:b/>
                <w:bCs/>
                <w:color w:val="1F3A6E"/>
                <w:sz w:val="21"/>
                <w:szCs w:val="21"/>
              </w:rPr>
              <w:t xml:space="preserve">Lower High (LH)</w:t>
            </w:r>
          </w:p>
        </w:tc>
        <w:tc>
          <w:tcPr>
            <w:tcW w:type="dxa" w:w="636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20"/>
            </w:tcMar>
          </w:tcPr>
          <w:p>
            <w:r>
              <w:rPr>
                <w:rFonts w:ascii="Arial" w:cs="Arial" w:eastAsia="Arial" w:hAnsi="Arial"/>
                <w:sz w:val="21"/>
                <w:szCs w:val="21"/>
              </w:rPr>
              <w:t xml:space="preserve">A swing high that fails to exceed the previous swing high — signals weakening upward momentum.</w:t>
            </w:r>
          </w:p>
        </w:tc>
      </w:tr>
      <w:tr>
        <w:tc>
          <w:tcPr>
            <w:tcW w:type="dxa" w:w="3000"/>
            <w:tcBorders>
              <w:top w:val="single" w:color="CCCCCC" w:sz="1"/>
              <w:left w:val="single" w:color="CCCCCC" w:sz="1"/>
              <w:bottom w:val="single" w:color="CCCCCC" w:sz="1"/>
              <w:right w:val="single" w:color="CCCCCC" w:sz="1"/>
            </w:tcBorders>
            <w:shd w:fill="EBF3FF" w:val="clear"/>
            <w:tcMar>
              <w:top w:type="dxa" w:w="80"/>
              <w:left w:type="dxa" w:w="160"/>
              <w:bottom w:type="dxa" w:w="80"/>
              <w:right w:type="dxa" w:w="120"/>
            </w:tcMar>
          </w:tcPr>
          <w:p>
            <w:r>
              <w:rPr>
                <w:rFonts w:ascii="Arial" w:cs="Arial" w:eastAsia="Arial" w:hAnsi="Arial"/>
                <w:b/>
                <w:bCs/>
                <w:color w:val="1F3A6E"/>
                <w:sz w:val="21"/>
                <w:szCs w:val="21"/>
              </w:rPr>
              <w:t xml:space="preserve">Lower Low (LL)</w:t>
            </w:r>
          </w:p>
        </w:tc>
        <w:tc>
          <w:tcPr>
            <w:tcW w:type="dxa" w:w="636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20"/>
            </w:tcMar>
          </w:tcPr>
          <w:p>
            <w:r>
              <w:rPr>
                <w:rFonts w:ascii="Arial" w:cs="Arial" w:eastAsia="Arial" w:hAnsi="Arial"/>
                <w:sz w:val="21"/>
                <w:szCs w:val="21"/>
              </w:rPr>
              <w:t xml:space="preserve">A swing low that falls below the previous swing low — confirms continued downward momentum.</w:t>
            </w:r>
          </w:p>
        </w:tc>
      </w:tr>
      <w:tr>
        <w:tc>
          <w:tcPr>
            <w:tcW w:type="dxa" w:w="3000"/>
            <w:tcBorders>
              <w:top w:val="single" w:color="CCCCCC" w:sz="1"/>
              <w:left w:val="single" w:color="CCCCCC" w:sz="1"/>
              <w:bottom w:val="single" w:color="CCCCCC" w:sz="1"/>
              <w:right w:val="single" w:color="CCCCCC" w:sz="1"/>
            </w:tcBorders>
            <w:shd w:fill="EBF3FF" w:val="clear"/>
            <w:tcMar>
              <w:top w:type="dxa" w:w="80"/>
              <w:left w:type="dxa" w:w="160"/>
              <w:bottom w:type="dxa" w:w="80"/>
              <w:right w:type="dxa" w:w="120"/>
            </w:tcMar>
          </w:tcPr>
          <w:p>
            <w:r>
              <w:rPr>
                <w:rFonts w:ascii="Arial" w:cs="Arial" w:eastAsia="Arial" w:hAnsi="Arial"/>
                <w:b/>
                <w:bCs/>
                <w:color w:val="1F3A6E"/>
                <w:sz w:val="21"/>
                <w:szCs w:val="21"/>
              </w:rPr>
              <w:t xml:space="preserve">Higher Low (HL)</w:t>
            </w:r>
          </w:p>
        </w:tc>
        <w:tc>
          <w:tcPr>
            <w:tcW w:type="dxa" w:w="636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20"/>
            </w:tcMar>
          </w:tcPr>
          <w:p>
            <w:r>
              <w:rPr>
                <w:rFonts w:ascii="Arial" w:cs="Arial" w:eastAsia="Arial" w:hAnsi="Arial"/>
                <w:sz w:val="21"/>
                <w:szCs w:val="21"/>
              </w:rPr>
              <w:t xml:space="preserve">A swing low that fails to fall below the previous swing low — signals weakening downward momentum.</w:t>
            </w:r>
          </w:p>
        </w:tc>
      </w:tr>
      <w:tr>
        <w:tc>
          <w:tcPr>
            <w:tcW w:type="dxa" w:w="3000"/>
            <w:tcBorders>
              <w:top w:val="single" w:color="CCCCCC" w:sz="1"/>
              <w:left w:val="single" w:color="CCCCCC" w:sz="1"/>
              <w:bottom w:val="single" w:color="CCCCCC" w:sz="1"/>
              <w:right w:val="single" w:color="CCCCCC" w:sz="1"/>
            </w:tcBorders>
            <w:shd w:fill="EBF3FF" w:val="clear"/>
            <w:tcMar>
              <w:top w:type="dxa" w:w="80"/>
              <w:left w:type="dxa" w:w="160"/>
              <w:bottom w:type="dxa" w:w="80"/>
              <w:right w:type="dxa" w:w="120"/>
            </w:tcMar>
          </w:tcPr>
          <w:p>
            <w:r>
              <w:rPr>
                <w:rFonts w:ascii="Arial" w:cs="Arial" w:eastAsia="Arial" w:hAnsi="Arial"/>
                <w:b/>
                <w:bCs/>
                <w:color w:val="1F3A6E"/>
                <w:sz w:val="21"/>
                <w:szCs w:val="21"/>
              </w:rPr>
              <w:t xml:space="preserve">Two-Candle Confirmation</w:t>
            </w:r>
          </w:p>
        </w:tc>
        <w:tc>
          <w:tcPr>
            <w:tcW w:type="dxa" w:w="636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20"/>
            </w:tcMar>
          </w:tcPr>
          <w:p>
            <w:r>
              <w:rPr>
                <w:rFonts w:ascii="Arial" w:cs="Arial" w:eastAsia="Arial" w:hAnsi="Arial"/>
                <w:sz w:val="21"/>
                <w:szCs w:val="21"/>
              </w:rPr>
              <w:t xml:space="preserve">Waiting for two full candles to close after an SMT signal appears before entering a trade, to filter out premature or false signals.</w:t>
            </w:r>
          </w:p>
        </w:tc>
      </w:tr>
      <w:tr>
        <w:tc>
          <w:tcPr>
            <w:tcW w:type="dxa" w:w="3000"/>
            <w:tcBorders>
              <w:top w:val="single" w:color="CCCCCC" w:sz="1"/>
              <w:left w:val="single" w:color="CCCCCC" w:sz="1"/>
              <w:bottom w:val="single" w:color="CCCCCC" w:sz="1"/>
              <w:right w:val="single" w:color="CCCCCC" w:sz="1"/>
            </w:tcBorders>
            <w:shd w:fill="EBF3FF" w:val="clear"/>
            <w:tcMar>
              <w:top w:type="dxa" w:w="80"/>
              <w:left w:type="dxa" w:w="160"/>
              <w:bottom w:type="dxa" w:w="80"/>
              <w:right w:type="dxa" w:w="120"/>
            </w:tcMar>
          </w:tcPr>
          <w:p>
            <w:r>
              <w:rPr>
                <w:rFonts w:ascii="Arial" w:cs="Arial" w:eastAsia="Arial" w:hAnsi="Arial"/>
                <w:b/>
                <w:bCs/>
                <w:color w:val="1F3A6E"/>
                <w:sz w:val="21"/>
                <w:szCs w:val="21"/>
              </w:rPr>
              <w:t xml:space="preserve">Pivot Strength</w:t>
            </w:r>
          </w:p>
        </w:tc>
        <w:tc>
          <w:tcPr>
            <w:tcW w:type="dxa" w:w="636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20"/>
            </w:tcMar>
          </w:tcPr>
          <w:p>
            <w:r>
              <w:rPr>
                <w:rFonts w:ascii="Arial" w:cs="Arial" w:eastAsia="Arial" w:hAnsi="Arial"/>
                <w:sz w:val="21"/>
                <w:szCs w:val="21"/>
              </w:rPr>
              <w:t xml:space="preserve">An indicator setting controlling how many candles on each side are required to confirm a swing high or low. Set to 2 for this strategy.</w:t>
            </w:r>
          </w:p>
        </w:tc>
      </w:tr>
      <w:tr>
        <w:tc>
          <w:tcPr>
            <w:tcW w:type="dxa" w:w="3000"/>
            <w:tcBorders>
              <w:top w:val="single" w:color="CCCCCC" w:sz="1"/>
              <w:left w:val="single" w:color="CCCCCC" w:sz="1"/>
              <w:bottom w:val="single" w:color="CCCCCC" w:sz="1"/>
              <w:right w:val="single" w:color="CCCCCC" w:sz="1"/>
            </w:tcBorders>
            <w:shd w:fill="EBF3FF" w:val="clear"/>
            <w:tcMar>
              <w:top w:type="dxa" w:w="80"/>
              <w:left w:type="dxa" w:w="160"/>
              <w:bottom w:type="dxa" w:w="80"/>
              <w:right w:type="dxa" w:w="120"/>
            </w:tcMar>
          </w:tcPr>
          <w:p>
            <w:r>
              <w:rPr>
                <w:rFonts w:ascii="Arial" w:cs="Arial" w:eastAsia="Arial" w:hAnsi="Arial"/>
                <w:b/>
                <w:bCs/>
                <w:color w:val="1F3A6E"/>
                <w:sz w:val="21"/>
                <w:szCs w:val="21"/>
              </w:rPr>
              <w:t xml:space="preserve">1:2 Risk-to-Reward (RR)</w:t>
            </w:r>
          </w:p>
        </w:tc>
        <w:tc>
          <w:tcPr>
            <w:tcW w:type="dxa" w:w="636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20"/>
            </w:tcMar>
          </w:tcPr>
          <w:p>
            <w:r>
              <w:rPr>
                <w:rFonts w:ascii="Arial" w:cs="Arial" w:eastAsia="Arial" w:hAnsi="Arial"/>
                <w:sz w:val="21"/>
                <w:szCs w:val="21"/>
              </w:rPr>
              <w:t xml:space="preserve">A trade structure where the profit target is twice the distance of the stop loss from entry. Central to this strategy's profitability at a near-50% win rate.</w:t>
            </w:r>
          </w:p>
        </w:tc>
      </w:tr>
      <w:tr>
        <w:tc>
          <w:tcPr>
            <w:tcW w:type="dxa" w:w="3000"/>
            <w:tcBorders>
              <w:top w:val="single" w:color="CCCCCC" w:sz="1"/>
              <w:left w:val="single" w:color="CCCCCC" w:sz="1"/>
              <w:bottom w:val="single" w:color="CCCCCC" w:sz="1"/>
              <w:right w:val="single" w:color="CCCCCC" w:sz="1"/>
            </w:tcBorders>
            <w:shd w:fill="EBF3FF" w:val="clear"/>
            <w:tcMar>
              <w:top w:type="dxa" w:w="80"/>
              <w:left w:type="dxa" w:w="160"/>
              <w:bottom w:type="dxa" w:w="80"/>
              <w:right w:type="dxa" w:w="120"/>
            </w:tcMar>
          </w:tcPr>
          <w:p>
            <w:r>
              <w:rPr>
                <w:rFonts w:ascii="Arial" w:cs="Arial" w:eastAsia="Arial" w:hAnsi="Arial"/>
                <w:b/>
                <w:bCs/>
                <w:color w:val="1F3A6E"/>
                <w:sz w:val="21"/>
                <w:szCs w:val="21"/>
              </w:rPr>
              <w:t xml:space="preserve">SMT Divergence (TFO)</w:t>
            </w:r>
          </w:p>
        </w:tc>
        <w:tc>
          <w:tcPr>
            <w:tcW w:type="dxa" w:w="636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20"/>
            </w:tcMar>
          </w:tcPr>
          <w:p>
            <w:r>
              <w:rPr>
                <w:rFonts w:ascii="Arial" w:cs="Arial" w:eastAsia="Arial" w:hAnsi="Arial"/>
                <w:sz w:val="21"/>
                <w:szCs w:val="21"/>
              </w:rPr>
              <w:t xml:space="preserve">The specific TradingView indicator used to automate detection of SMT divergence between two specified symbols.</w:t>
            </w:r>
          </w:p>
        </w:tc>
      </w:tr>
    </w:tbl>
    <w:p>
      <w:pPr>
        <w:spacing w:before="120"/>
      </w:pPr>
      <w:r>
        <w:t xml:space="preserve"/>
      </w:r>
    </w:p>
    <w:p>
      <w:pPr>
        <w:pBdr>
          <w:top w:val="single" w:color="CCCCCC" w:sz="4" w:space="1"/>
        </w:pBdr>
        <w:spacing w:after="80" w:before="240"/>
      </w:pPr>
      <w:r>
        <w:rPr>
          <w:rFonts w:ascii="Arial" w:cs="Arial" w:eastAsia="Arial" w:hAnsi="Arial"/>
          <w:b/>
          <w:bCs/>
          <w:color w:val="888888"/>
          <w:sz w:val="20"/>
          <w:szCs w:val="20"/>
        </w:rPr>
        <w:t xml:space="preserve">Disclaimer</w:t>
      </w:r>
    </w:p>
    <w:p>
      <w:pPr>
        <w:spacing w:after="0" w:before="0"/>
      </w:pPr>
      <w:r>
        <w:rPr>
          <w:rFonts w:ascii="Arial" w:cs="Arial" w:eastAsia="Arial" w:hAnsi="Arial"/>
          <w:i/>
          <w:iCs/>
          <w:color w:val="888888"/>
          <w:sz w:val="18"/>
          <w:szCs w:val="18"/>
        </w:rPr>
        <w:t xml:space="preserve">This document is produced solely for educational and informational purposes. The strategy described herein is presented as a learning framework and does not constitute financial advice, a recommendation to trade, or a guarantee of any specific outcome. Cryptocurrency trading involves substantial risk of loss and is not suitable for all investors. Backtest results cited are historical and illustrative only; past performance is not indicative of future results. Always conduct your own due diligence and consult a qualified financial adviser before engaging in any trading activity.</w:t>
      </w:r>
    </w:p>
    <w:sectPr>
      <w:headerReference w:type="default" r:id="rId7"/>
      <w:footerReference w:type="default" r:id="rId8"/>
      <w:pgSz w:w="12240" w:h="15840" w:orient="portrait"/>
      <w:pgMar w:top="1440" w:right="1260" w:bottom="1440" w:left="126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CCCCC" w:sz="4" w:space="1"/>
      </w:pBdr>
      <w:tabs>
        <w:tab w:val="right" w:pos="9360"/>
      </w:tabs>
      <w:spacing w:before="80"/>
    </w:pPr>
    <w:r>
      <w:rPr>
        <w:rFonts w:ascii="Arial" w:cs="Arial" w:eastAsia="Arial" w:hAnsi="Arial"/>
        <w:color w:val="999999"/>
        <w:sz w:val="16"/>
        <w:szCs w:val="16"/>
      </w:rPr>
      <w:t xml:space="preserve">© Trading Education Series</w:t>
    </w:r>
    <w:r>
      <w:rPr>
        <w:rFonts w:ascii="Arial" w:cs="Arial" w:eastAsia="Arial" w:hAnsi="Arial"/>
        <w:color w:val="999999"/>
        <w:sz w:val="16"/>
        <w:szCs w:val="16"/>
      </w:rPr>
      <w:t xml:space="preserve">	Page </w:t>
    </w:r>
    <w:fldSimple w:instr="PAGE"/>
    <w:r>
      <w:rPr>
        <w:rFonts w:ascii="Arial" w:cs="Arial" w:eastAsia="Arial" w:hAnsi="Arial"/>
        <w:color w:val="999999"/>
        <w:sz w:val="16"/>
        <w:szCs w:val="16"/>
      </w:rPr>
      <w:t xml:space="preserve"> of </w:t>
    </w:r>
    <w:fldSimple w:instr="NUMPAGES"/>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1F6FEB" w:sz="6" w:space="1"/>
      </w:pBdr>
      <w:tabs>
        <w:tab w:val="right" w:pos="9360"/>
      </w:tabs>
      <w:spacing w:after="100"/>
    </w:pPr>
    <w:r>
      <w:rPr>
        <w:rFonts w:ascii="Arial" w:cs="Arial" w:eastAsia="Arial" w:hAnsi="Arial"/>
        <w:b/>
        <w:bCs/>
        <w:color w:val="1F6FEB"/>
        <w:sz w:val="18"/>
        <w:szCs w:val="18"/>
      </w:rPr>
      <w:t xml:space="preserve">ICT SMT Divergence Strategy — BTC/ETH</w:t>
    </w:r>
    <w:r>
      <w:rPr>
        <w:rFonts w:ascii="Arial" w:cs="Arial" w:eastAsia="Arial" w:hAnsi="Arial"/>
        <w:sz w:val="18"/>
        <w:szCs w:val="18"/>
      </w:rPr>
      <w:t xml:space="preserve">	</w:t>
    </w:r>
    <w:r>
      <w:rPr>
        <w:rFonts w:ascii="Arial" w:cs="Arial" w:eastAsia="Arial" w:hAnsi="Arial"/>
        <w:i/>
        <w:iCs/>
        <w:color w:val="888888"/>
        <w:sz w:val="18"/>
        <w:szCs w:val="18"/>
      </w:rPr>
      <w:t xml:space="preserve">For Educational Use Only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60" w:before="320"/>
      <w:outlineLvl w:val="0"/>
    </w:pPr>
    <w:rPr>
      <w:rFonts w:ascii="Arial" w:cs="Arial" w:eastAsia="Arial" w:hAnsi="Arial"/>
      <w:b/>
      <w:bCs/>
      <w:color w:val="1F6FEB"/>
      <w:sz w:val="32"/>
      <w:szCs w:val="32"/>
    </w:rPr>
  </w:style>
  <w:style w:type="paragraph" w:styleId="Heading2">
    <w:name w:val="Heading 2"/>
    <w:basedOn w:val="Normal"/>
    <w:next w:val="Normal"/>
    <w:qFormat/>
    <w:pPr>
      <w:spacing w:after="120" w:before="240"/>
      <w:outlineLvl w:val="1"/>
    </w:pPr>
    <w:rPr>
      <w:rFonts w:ascii="Arial" w:cs="Arial" w:eastAsia="Arial" w:hAnsi="Arial"/>
      <w:b/>
      <w:bCs/>
      <w:color w:val="2C3E50"/>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image" Target="media/8d162055e16d589d7ebe417a5dd87d6b1f66eb67.png"/><Relationship Id="rId10" Type="http://schemas.openxmlformats.org/officeDocument/2006/relationships/image" Target="media/db75ec092fbbab8fbfae7b861540989079a438ce.png"/><Relationship Id="rId11" Type="http://schemas.openxmlformats.org/officeDocument/2006/relationships/image" Target="media/a028332a8eaa792ca6b35dd648086e45f892b1a8.png"/><Relationship Id="rId12" Type="http://schemas.openxmlformats.org/officeDocument/2006/relationships/image" Target="media/ac68b46c13c92b3cefcd7453082b02e9c28e8dfd.png"/><Relationship Id="rId13"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2026-06-24T04:10:05.733Z</dcterms:created>
  <dcterms:modified xsi:type="dcterms:W3CDTF">2026-06-24T04:10:05.747Z</dcterms:modified>
</cp:coreProperties>
</file>

<file path=docProps/custom.xml><?xml version="1.0" encoding="utf-8"?>
<Properties xmlns="http://schemas.openxmlformats.org/officeDocument/2006/custom-properties" xmlns:vt="http://schemas.openxmlformats.org/officeDocument/2006/docPropsVTypes"/>
</file>